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FA" w:rsidRDefault="00121AFA" w:rsidP="00615971">
      <w:pPr>
        <w:ind w:leftChars="-236" w:rightChars="-260" w:right="-624" w:hangingChars="157" w:hanging="566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121AFA">
        <w:rPr>
          <w:rFonts w:ascii="標楷體" w:eastAsia="標楷體" w:hAnsi="標楷體"/>
          <w:b/>
          <w:bCs/>
          <w:sz w:val="36"/>
          <w:szCs w:val="36"/>
        </w:rPr>
        <w:t>103</w:t>
      </w:r>
      <w:proofErr w:type="gramEnd"/>
      <w:r w:rsidRPr="00121AFA">
        <w:rPr>
          <w:rFonts w:ascii="標楷體" w:eastAsia="標楷體" w:hAnsi="標楷體" w:hint="eastAsia"/>
          <w:b/>
          <w:bCs/>
          <w:sz w:val="36"/>
          <w:szCs w:val="36"/>
        </w:rPr>
        <w:t>年度「非鴉片類藥癮者戒癮治療費用補助計畫」執行流程</w:t>
      </w:r>
    </w:p>
    <w:p w:rsidR="002D24D0" w:rsidRDefault="002C1590" w:rsidP="002D24D0">
      <w:pPr>
        <w:ind w:leftChars="-236" w:left="-1" w:rightChars="-260" w:right="-624" w:hangingChars="157" w:hanging="565"/>
        <w:rPr>
          <w:rFonts w:ascii="標楷體" w:eastAsia="標楷體" w:hAnsi="標楷體"/>
          <w:bCs/>
          <w:sz w:val="28"/>
          <w:szCs w:val="28"/>
        </w:rPr>
      </w:pPr>
      <w:r w:rsidRPr="002C1590">
        <w:rPr>
          <w:rFonts w:ascii="標楷體" w:eastAsia="標楷體" w:hAnsi="標楷體"/>
          <w:noProof/>
          <w:sz w:val="36"/>
          <w:szCs w:val="36"/>
        </w:rPr>
        <w:pict>
          <v:group id="_x0000_s1047" style="position:absolute;left:0;text-align:left;margin-left:-59.5pt;margin-top:30.5pt;width:554.5pt;height:510pt;z-index:251691008" coordorigin="610,2770" coordsize="11090,10200">
            <v:roundrect id="_x0000_s1026" style="position:absolute;left:4300;top:2770;width:3890;height:2100" arcsize="10923f" o:regroupid="1" filled="f" fillcolor="#ff6">
              <v:textbox style="mso-next-textbox:#_x0000_s1026">
                <w:txbxContent>
                  <w:p w:rsidR="002F2F0C" w:rsidRPr="0006075D" w:rsidRDefault="002F2F0C" w:rsidP="00311456">
                    <w:pPr>
                      <w:spacing w:afterLines="50" w:line="500" w:lineRule="exact"/>
                      <w:jc w:val="center"/>
                      <w:rPr>
                        <w:rFonts w:ascii="標楷體" w:eastAsia="標楷體" w:hAnsi="標楷體"/>
                        <w:b/>
                        <w:sz w:val="28"/>
                        <w:szCs w:val="28"/>
                        <w:u w:val="single"/>
                      </w:rPr>
                    </w:pPr>
                    <w:r w:rsidRPr="0006075D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  <w:u w:val="single"/>
                      </w:rPr>
                      <w:t>初診</w:t>
                    </w:r>
                  </w:p>
                  <w:p w:rsidR="002F2F0C" w:rsidRPr="002F2F0C" w:rsidRDefault="002F2F0C" w:rsidP="002F2F0C">
                    <w:pPr>
                      <w:spacing w:line="340" w:lineRule="exact"/>
                      <w:rPr>
                        <w:rFonts w:ascii="標楷體" w:eastAsia="標楷體" w:hAnsi="標楷體"/>
                        <w:szCs w:val="24"/>
                      </w:rPr>
                    </w:pPr>
                    <w:r w:rsidRPr="002F2F0C">
                      <w:rPr>
                        <w:rFonts w:ascii="標楷體" w:eastAsia="標楷體" w:hAnsi="標楷體" w:hint="eastAsia"/>
                        <w:szCs w:val="24"/>
                      </w:rPr>
                      <w:t>(</w:t>
                    </w:r>
                    <w:r>
                      <w:rPr>
                        <w:rFonts w:ascii="標楷體" w:eastAsia="標楷體" w:hAnsi="標楷體" w:hint="eastAsia"/>
                        <w:szCs w:val="24"/>
                      </w:rPr>
                      <w:t>服務內容：</w:t>
                    </w:r>
                    <w:r w:rsidRPr="002F2F0C">
                      <w:rPr>
                        <w:rFonts w:ascii="標楷體" w:eastAsia="標楷體" w:hAnsi="標楷體" w:hint="eastAsia"/>
                        <w:szCs w:val="24"/>
                      </w:rPr>
                      <w:t>門診診察、診斷性會談、生理心理功能檢查、</w:t>
                    </w:r>
                    <w:r w:rsidRPr="002F2F0C">
                      <w:rPr>
                        <w:rFonts w:ascii="標楷體" w:eastAsia="標楷體" w:hAnsi="標楷體" w:hint="eastAsia"/>
                        <w:color w:val="000000"/>
                        <w:szCs w:val="24"/>
                      </w:rPr>
                      <w:t>社會心理功能評估</w:t>
                    </w:r>
                    <w:r>
                      <w:rPr>
                        <w:rFonts w:ascii="標楷體" w:eastAsia="標楷體" w:hAnsi="標楷體" w:hint="eastAsia"/>
                        <w:color w:val="000000"/>
                        <w:szCs w:val="24"/>
                      </w:rPr>
                      <w:t>、尿液毒物篩檢</w:t>
                    </w:r>
                    <w:r w:rsidRPr="002F2F0C">
                      <w:rPr>
                        <w:rFonts w:ascii="標楷體" w:eastAsia="標楷體" w:hAnsi="標楷體" w:hint="eastAsia"/>
                        <w:szCs w:val="24"/>
                      </w:rPr>
                      <w:t>)</w:t>
                    </w:r>
                  </w:p>
                </w:txbxContent>
              </v:textbox>
            </v:roundrect>
            <v:roundrect id="_x0000_s1027" style="position:absolute;left:4160;top:7450;width:3890;height:2470" arcsize="10923f" o:regroupid="1" filled="f" fillcolor="#d99594 [1941]">
              <v:textbox style="mso-next-textbox:#_x0000_s1027">
                <w:txbxContent>
                  <w:p w:rsidR="002F2F0C" w:rsidRPr="0006075D" w:rsidRDefault="00311456" w:rsidP="00311456">
                    <w:pPr>
                      <w:spacing w:afterLines="50" w:line="500" w:lineRule="exact"/>
                      <w:jc w:val="center"/>
                      <w:rPr>
                        <w:rFonts w:ascii="標楷體" w:eastAsia="標楷體" w:hAnsi="標楷體"/>
                        <w:b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  <w:u w:val="single"/>
                      </w:rPr>
                      <w:t>複</w:t>
                    </w:r>
                    <w:r w:rsidR="002F2F0C" w:rsidRPr="0006075D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  <w:u w:val="single"/>
                      </w:rPr>
                      <w:t>診</w:t>
                    </w:r>
                  </w:p>
                  <w:p w:rsidR="002F2F0C" w:rsidRPr="002F2F0C" w:rsidRDefault="002F2F0C" w:rsidP="002F2F0C">
                    <w:pPr>
                      <w:spacing w:line="340" w:lineRule="exact"/>
                      <w:rPr>
                        <w:rFonts w:ascii="標楷體" w:eastAsia="標楷體" w:hAnsi="標楷體"/>
                        <w:szCs w:val="24"/>
                      </w:rPr>
                    </w:pPr>
                    <w:r w:rsidRPr="002F2F0C">
                      <w:rPr>
                        <w:rFonts w:ascii="標楷體" w:eastAsia="標楷體" w:hAnsi="標楷體" w:hint="eastAsia"/>
                        <w:szCs w:val="24"/>
                      </w:rPr>
                      <w:t>(</w:t>
                    </w:r>
                    <w:r w:rsidR="00B37B25">
                      <w:rPr>
                        <w:rFonts w:ascii="標楷體" w:eastAsia="標楷體" w:hAnsi="標楷體" w:hint="eastAsia"/>
                        <w:szCs w:val="24"/>
                      </w:rPr>
                      <w:t>每療程約3-6個月</w:t>
                    </w:r>
                    <w:r w:rsidR="006E5D2F">
                      <w:rPr>
                        <w:rFonts w:ascii="標楷體" w:eastAsia="標楷體" w:hAnsi="標楷體" w:hint="eastAsia"/>
                        <w:szCs w:val="24"/>
                      </w:rPr>
                      <w:t>，</w:t>
                    </w:r>
                    <w:r w:rsidR="00F34DD0">
                      <w:rPr>
                        <w:rFonts w:ascii="標楷體" w:eastAsia="標楷體" w:hAnsi="標楷體" w:hint="eastAsia"/>
                        <w:szCs w:val="24"/>
                      </w:rPr>
                      <w:t>約12次</w:t>
                    </w:r>
                    <w:r w:rsidR="00B37B25">
                      <w:rPr>
                        <w:rFonts w:ascii="標楷體" w:eastAsia="標楷體" w:hAnsi="標楷體" w:hint="eastAsia"/>
                        <w:szCs w:val="24"/>
                      </w:rPr>
                      <w:t>，</w:t>
                    </w:r>
                    <w:r>
                      <w:rPr>
                        <w:rFonts w:ascii="標楷體" w:eastAsia="標楷體" w:hAnsi="標楷體" w:hint="eastAsia"/>
                        <w:szCs w:val="24"/>
                      </w:rPr>
                      <w:t>服務內容：</w:t>
                    </w:r>
                    <w:r w:rsidRPr="002F2F0C">
                      <w:rPr>
                        <w:rFonts w:ascii="標楷體" w:eastAsia="標楷體" w:hAnsi="標楷體" w:hint="eastAsia"/>
                        <w:szCs w:val="24"/>
                      </w:rPr>
                      <w:t>門診診察</w:t>
                    </w:r>
                    <w:r>
                      <w:rPr>
                        <w:rFonts w:ascii="標楷體" w:eastAsia="標楷體" w:hAnsi="標楷體" w:hint="eastAsia"/>
                        <w:szCs w:val="24"/>
                      </w:rPr>
                      <w:t>、</w:t>
                    </w:r>
                    <w:r>
                      <w:rPr>
                        <w:rFonts w:ascii="標楷體" w:eastAsia="標楷體" w:hAnsi="標楷體" w:hint="eastAsia"/>
                        <w:color w:val="000000"/>
                        <w:szCs w:val="24"/>
                      </w:rPr>
                      <w:t>尿液毒物篩檢，</w:t>
                    </w:r>
                    <w:r w:rsidR="0006075D">
                      <w:rPr>
                        <w:rFonts w:ascii="標楷體" w:eastAsia="標楷體" w:hAnsi="標楷體" w:hint="eastAsia"/>
                        <w:color w:val="000000"/>
                        <w:szCs w:val="24"/>
                      </w:rPr>
                      <w:t>及</w:t>
                    </w:r>
                    <w:r>
                      <w:rPr>
                        <w:rFonts w:ascii="標楷體" w:eastAsia="標楷體" w:hAnsi="標楷體" w:hint="eastAsia"/>
                        <w:color w:val="000000"/>
                        <w:szCs w:val="24"/>
                      </w:rPr>
                      <w:t>經醫師評估個案</w:t>
                    </w:r>
                    <w:r w:rsidR="0006075D">
                      <w:rPr>
                        <w:rFonts w:ascii="標楷體" w:eastAsia="標楷體" w:hAnsi="標楷體" w:hint="eastAsia"/>
                        <w:color w:val="000000"/>
                        <w:szCs w:val="24"/>
                      </w:rPr>
                      <w:t>狀況，佐以左列相關戒癮治療</w:t>
                    </w:r>
                    <w:r w:rsidRPr="002F2F0C">
                      <w:rPr>
                        <w:rFonts w:ascii="標楷體" w:eastAsia="標楷體" w:hAnsi="標楷體" w:hint="eastAsia"/>
                        <w:szCs w:val="24"/>
                      </w:rPr>
                      <w:t>)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6040;top:4870;width:1;height:2580" o:connectortype="straight" o:regroupid="1">
              <v:stroke endarrow="block"/>
            </v:shape>
            <v:shape id="_x0000_s1029" type="#_x0000_t32" style="position:absolute;left:8050;top:8770;width:1070;height:10" o:connectortype="straight" o:regroupid="1">
              <v:stroke dashstyle="1 1" endarrow="block"/>
            </v:shape>
            <v:shape id="_x0000_s1030" type="#_x0000_t32" style="position:absolute;left:8500;top:7290;width:10;height:2920" o:connectortype="straight" o:regroupid="1">
              <v:stroke dashstyle="1 1"/>
            </v:shape>
            <v:shape id="_x0000_s1031" type="#_x0000_t32" style="position:absolute;left:8540;top:10210;width:580;height:0" o:connectortype="straight" o:regroupid="1">
              <v:stroke dashstyle="1 1" endarrow="block"/>
            </v:shape>
            <v:shape id="_x0000_s1034" type="#_x0000_t32" style="position:absolute;left:8510;top:7290;width:580;height:0" o:connectortype="straight" o:regroupid="1">
              <v:stroke dashstyle="1 1" endarrow="block"/>
            </v:shape>
            <v:roundrect id="_x0000_s1036" style="position:absolute;left:9090;top:5610;width:2520;height:2260" arcsize="10923f" o:regroupid="1" filled="f" fillcolor="#d99594 [1941]">
              <v:stroke dashstyle="dash"/>
              <v:textbox style="mso-next-textbox:#_x0000_s1036">
                <w:txbxContent>
                  <w:p w:rsidR="0006075D" w:rsidRPr="0006075D" w:rsidRDefault="0006075D" w:rsidP="0006075D">
                    <w:pPr>
                      <w:spacing w:line="500" w:lineRule="exact"/>
                      <w:rPr>
                        <w:rFonts w:ascii="標楷體" w:eastAsia="標楷體" w:hAnsi="標楷體"/>
                        <w:b/>
                        <w:color w:val="000000"/>
                        <w:sz w:val="28"/>
                        <w:szCs w:val="28"/>
                      </w:rPr>
                    </w:pPr>
                    <w:r w:rsidRPr="0006075D">
                      <w:rPr>
                        <w:rFonts w:ascii="標楷體" w:eastAsia="標楷體" w:hAnsi="標楷體" w:hint="eastAsia"/>
                        <w:b/>
                        <w:color w:val="000000"/>
                        <w:sz w:val="28"/>
                        <w:szCs w:val="28"/>
                      </w:rPr>
                      <w:t>團體心理治療</w:t>
                    </w:r>
                  </w:p>
                  <w:p w:rsidR="0006075D" w:rsidRPr="0006075D" w:rsidRDefault="0006075D" w:rsidP="0006075D">
                    <w:pPr>
                      <w:spacing w:line="340" w:lineRule="exact"/>
                      <w:rPr>
                        <w:rFonts w:ascii="標楷體" w:eastAsia="標楷體" w:hAnsi="標楷體"/>
                        <w:szCs w:val="24"/>
                      </w:rPr>
                    </w:pPr>
                    <w:r w:rsidRPr="0006075D">
                      <w:rPr>
                        <w:rFonts w:ascii="標楷體" w:eastAsia="標楷體" w:hAnsi="標楷體" w:hint="eastAsia"/>
                        <w:color w:val="000000"/>
                        <w:szCs w:val="24"/>
                      </w:rPr>
                      <w:t>(</w:t>
                    </w:r>
                    <w:r>
                      <w:rPr>
                        <w:rFonts w:ascii="標楷體" w:eastAsia="標楷體" w:hAnsi="標楷體" w:hint="eastAsia"/>
                        <w:color w:val="000000"/>
                        <w:szCs w:val="24"/>
                      </w:rPr>
                      <w:t>除高雄市立凱旋醫院外，皆有提供相關療程</w:t>
                    </w:r>
                    <w:r w:rsidR="00B37B25">
                      <w:rPr>
                        <w:rFonts w:ascii="標楷體" w:eastAsia="標楷體" w:hAnsi="標楷體" w:hint="eastAsia"/>
                        <w:color w:val="000000"/>
                        <w:szCs w:val="24"/>
                      </w:rPr>
                      <w:t>，每療程</w:t>
                    </w:r>
                    <w:r w:rsidR="00737255">
                      <w:rPr>
                        <w:rFonts w:ascii="標楷體" w:eastAsia="標楷體" w:hAnsi="標楷體" w:hint="eastAsia"/>
                        <w:color w:val="000000"/>
                        <w:szCs w:val="24"/>
                      </w:rPr>
                      <w:t>補助</w:t>
                    </w:r>
                    <w:r w:rsidR="00B37B25">
                      <w:rPr>
                        <w:rFonts w:ascii="標楷體" w:eastAsia="標楷體" w:hAnsi="標楷體" w:hint="eastAsia"/>
                        <w:color w:val="000000"/>
                        <w:szCs w:val="24"/>
                      </w:rPr>
                      <w:t>8次</w:t>
                    </w:r>
                    <w:r w:rsidR="00737255">
                      <w:rPr>
                        <w:rFonts w:ascii="標楷體" w:eastAsia="標楷體" w:hAnsi="標楷體" w:hint="eastAsia"/>
                        <w:color w:val="000000"/>
                        <w:szCs w:val="24"/>
                      </w:rPr>
                      <w:t>為限</w:t>
                    </w:r>
                    <w:r w:rsidRPr="0006075D">
                      <w:rPr>
                        <w:rFonts w:ascii="標楷體" w:eastAsia="標楷體" w:hAnsi="標楷體" w:hint="eastAsia"/>
                        <w:color w:val="000000"/>
                        <w:szCs w:val="24"/>
                      </w:rPr>
                      <w:t>)</w:t>
                    </w:r>
                  </w:p>
                </w:txbxContent>
              </v:textbox>
            </v:roundrect>
            <v:roundrect id="_x0000_s1037" style="position:absolute;left:9120;top:8210;width:2520;height:1270" arcsize="10923f" o:regroupid="1" filled="f" fillcolor="#d99594 [1941]">
              <v:stroke dashstyle="dash"/>
              <v:textbox style="mso-next-textbox:#_x0000_s1037">
                <w:txbxContent>
                  <w:p w:rsidR="00B37B25" w:rsidRDefault="0006075D" w:rsidP="0006075D">
                    <w:pPr>
                      <w:spacing w:line="500" w:lineRule="exact"/>
                      <w:jc w:val="center"/>
                      <w:rPr>
                        <w:rFonts w:ascii="標楷體" w:eastAsia="標楷體" w:hAnsi="標楷體"/>
                        <w:b/>
                        <w:color w:val="000000"/>
                        <w:sz w:val="28"/>
                        <w:szCs w:val="28"/>
                      </w:rPr>
                    </w:pPr>
                    <w:r w:rsidRPr="0006075D">
                      <w:rPr>
                        <w:rFonts w:ascii="標楷體" w:eastAsia="標楷體" w:hAnsi="標楷體" w:hint="eastAsia"/>
                        <w:b/>
                        <w:color w:val="000000"/>
                        <w:sz w:val="28"/>
                        <w:szCs w:val="28"/>
                      </w:rPr>
                      <w:t>家族治療</w:t>
                    </w:r>
                  </w:p>
                  <w:p w:rsidR="0006075D" w:rsidRPr="00B37B25" w:rsidRDefault="00B37B25" w:rsidP="0006075D">
                    <w:pPr>
                      <w:spacing w:line="500" w:lineRule="exact"/>
                      <w:jc w:val="center"/>
                      <w:rPr>
                        <w:rFonts w:ascii="標楷體" w:eastAsia="標楷體" w:hAnsi="標楷體"/>
                        <w:b/>
                        <w:color w:val="000000"/>
                        <w:szCs w:val="24"/>
                      </w:rPr>
                    </w:pPr>
                    <w:r w:rsidRPr="00B37B25">
                      <w:rPr>
                        <w:rFonts w:ascii="標楷體" w:eastAsia="標楷體" w:hAnsi="標楷體" w:hint="eastAsia"/>
                        <w:color w:val="000000"/>
                        <w:szCs w:val="24"/>
                      </w:rPr>
                      <w:t>(每</w:t>
                    </w:r>
                    <w:r w:rsidR="00737255">
                      <w:rPr>
                        <w:rFonts w:ascii="標楷體" w:eastAsia="標楷體" w:hAnsi="標楷體" w:hint="eastAsia"/>
                        <w:color w:val="000000"/>
                        <w:szCs w:val="24"/>
                      </w:rPr>
                      <w:t>療程得補助</w:t>
                    </w:r>
                    <w:r w:rsidRPr="00B37B25">
                      <w:rPr>
                        <w:rFonts w:ascii="標楷體" w:eastAsia="標楷體" w:hAnsi="標楷體" w:hint="eastAsia"/>
                        <w:color w:val="000000"/>
                        <w:szCs w:val="24"/>
                      </w:rPr>
                      <w:t>2次)</w:t>
                    </w:r>
                  </w:p>
                </w:txbxContent>
              </v:textbox>
            </v:roundrect>
            <v:roundrect id="_x0000_s1038" style="position:absolute;left:9120;top:9830;width:2580;height:1450" arcsize="10923f" o:regroupid="1" filled="f" fillcolor="#d99594 [1941]">
              <v:stroke dashstyle="dash"/>
              <v:textbox style="mso-next-textbox:#_x0000_s1038">
                <w:txbxContent>
                  <w:p w:rsidR="0006075D" w:rsidRDefault="0006075D" w:rsidP="00B37B25">
                    <w:pPr>
                      <w:spacing w:line="460" w:lineRule="exact"/>
                      <w:jc w:val="center"/>
                      <w:rPr>
                        <w:rFonts w:ascii="標楷體" w:eastAsia="標楷體" w:hAnsi="標楷體"/>
                        <w:b/>
                        <w:color w:val="000000"/>
                        <w:sz w:val="26"/>
                        <w:szCs w:val="26"/>
                      </w:rPr>
                    </w:pPr>
                    <w:r w:rsidRPr="0006075D">
                      <w:rPr>
                        <w:rFonts w:ascii="標楷體" w:eastAsia="標楷體" w:hAnsi="標楷體" w:hint="eastAsia"/>
                        <w:b/>
                        <w:color w:val="000000"/>
                        <w:sz w:val="26"/>
                        <w:szCs w:val="26"/>
                      </w:rPr>
                      <w:t>特殊個別心理治療</w:t>
                    </w:r>
                  </w:p>
                  <w:p w:rsidR="00737255" w:rsidRDefault="00B37B25" w:rsidP="00737255">
                    <w:pPr>
                      <w:spacing w:line="340" w:lineRule="exact"/>
                      <w:jc w:val="center"/>
                      <w:rPr>
                        <w:rFonts w:ascii="標楷體" w:eastAsia="標楷體" w:hAnsi="標楷體"/>
                        <w:color w:val="000000"/>
                        <w:szCs w:val="24"/>
                      </w:rPr>
                    </w:pPr>
                    <w:r w:rsidRPr="00B37B25">
                      <w:rPr>
                        <w:rFonts w:ascii="標楷體" w:eastAsia="標楷體" w:hAnsi="標楷體" w:hint="eastAsia"/>
                        <w:color w:val="000000"/>
                        <w:szCs w:val="24"/>
                      </w:rPr>
                      <w:t>(</w:t>
                    </w:r>
                    <w:r>
                      <w:rPr>
                        <w:rFonts w:ascii="標楷體" w:eastAsia="標楷體" w:hAnsi="標楷體" w:hint="eastAsia"/>
                        <w:color w:val="000000"/>
                        <w:szCs w:val="24"/>
                      </w:rPr>
                      <w:t>每療程</w:t>
                    </w:r>
                    <w:r w:rsidR="00737255">
                      <w:rPr>
                        <w:rFonts w:ascii="標楷體" w:eastAsia="標楷體" w:hAnsi="標楷體" w:hint="eastAsia"/>
                        <w:color w:val="000000"/>
                        <w:szCs w:val="24"/>
                      </w:rPr>
                      <w:t>補助</w:t>
                    </w:r>
                    <w:r>
                      <w:rPr>
                        <w:rFonts w:ascii="標楷體" w:eastAsia="標楷體" w:hAnsi="標楷體" w:hint="eastAsia"/>
                        <w:color w:val="000000"/>
                        <w:szCs w:val="24"/>
                      </w:rPr>
                      <w:t>6次</w:t>
                    </w:r>
                    <w:r w:rsidR="00737255">
                      <w:rPr>
                        <w:rFonts w:ascii="標楷體" w:eastAsia="標楷體" w:hAnsi="標楷體" w:hint="eastAsia"/>
                        <w:color w:val="000000"/>
                        <w:szCs w:val="24"/>
                      </w:rPr>
                      <w:t>為</w:t>
                    </w:r>
                  </w:p>
                  <w:p w:rsidR="00B37B25" w:rsidRPr="0006075D" w:rsidRDefault="00737255" w:rsidP="00737255">
                    <w:pPr>
                      <w:spacing w:line="340" w:lineRule="exact"/>
                      <w:rPr>
                        <w:rFonts w:ascii="標楷體" w:eastAsia="標楷體" w:hAnsi="標楷體"/>
                        <w:b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  <w:szCs w:val="24"/>
                      </w:rPr>
                      <w:t>限</w:t>
                    </w:r>
                    <w:r w:rsidR="00B37B25" w:rsidRPr="0006075D">
                      <w:rPr>
                        <w:rFonts w:ascii="標楷體" w:eastAsia="標楷體" w:hAnsi="標楷體" w:hint="eastAsia"/>
                        <w:color w:val="000000"/>
                        <w:szCs w:val="24"/>
                      </w:rPr>
                      <w:t>)</w:t>
                    </w:r>
                  </w:p>
                  <w:p w:rsidR="00B37B25" w:rsidRPr="00B37B25" w:rsidRDefault="00B37B25" w:rsidP="00B37B25">
                    <w:pPr>
                      <w:spacing w:line="460" w:lineRule="exact"/>
                      <w:jc w:val="center"/>
                      <w:rPr>
                        <w:rFonts w:ascii="標楷體" w:eastAsia="標楷體" w:hAnsi="標楷體"/>
                        <w:b/>
                        <w:color w:val="000000"/>
                        <w:sz w:val="26"/>
                        <w:szCs w:val="26"/>
                      </w:rPr>
                    </w:pPr>
                  </w:p>
                </w:txbxContent>
              </v:textbox>
            </v:roundrect>
            <v:shape id="_x0000_s1039" type="#_x0000_t32" style="position:absolute;left:6140;top:9920;width:0;height:2140" o:connectortype="straight" o:regroupid="1">
              <v:stroke endarrow="block"/>
            </v:shape>
            <v:roundrect id="_x0000_s1040" style="position:absolute;left:4870;top:12060;width:2660;height:910" arcsize="10923f" o:regroupid="1" filled="f" fillcolor="#95b3d7 [1940]">
              <v:textbox style="mso-next-textbox:#_x0000_s1040">
                <w:txbxContent>
                  <w:p w:rsidR="00214880" w:rsidRPr="00214880" w:rsidRDefault="00214880" w:rsidP="00311456">
                    <w:pPr>
                      <w:spacing w:afterLines="50" w:line="500" w:lineRule="exact"/>
                      <w:jc w:val="center"/>
                      <w:rPr>
                        <w:rFonts w:ascii="標楷體" w:eastAsia="標楷體" w:hAnsi="標楷體"/>
                        <w:b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  <w:u w:val="single"/>
                      </w:rPr>
                      <w:t>結案</w:t>
                    </w:r>
                  </w:p>
                </w:txbxContent>
              </v:textbox>
            </v:roundrect>
            <v:shape id="_x0000_s1041" type="#_x0000_t32" style="position:absolute;left:3940;top:3910;width:360;height:1" o:connectortype="straight" o:regroupid="1"/>
            <v:rect id="_x0000_s1043" style="position:absolute;left:610;top:2940;width:3330;height:1880" o:regroupid="1" filled="f" fillcolor="#f2f2f2 [3052]">
              <v:textbox style="mso-next-textbox:#_x0000_s1043">
                <w:txbxContent>
                  <w:p w:rsidR="00214880" w:rsidRPr="00214880" w:rsidRDefault="00214880" w:rsidP="00214880">
                    <w:pPr>
                      <w:rPr>
                        <w:rFonts w:ascii="標楷體" w:eastAsia="標楷體" w:hAnsi="標楷體"/>
                        <w:szCs w:val="24"/>
                      </w:rPr>
                    </w:pPr>
                    <w:r w:rsidRPr="00214880">
                      <w:rPr>
                        <w:rFonts w:ascii="標楷體" w:eastAsia="標楷體" w:hAnsi="標楷體" w:hint="eastAsia"/>
                        <w:szCs w:val="24"/>
                        <w:u w:val="single"/>
                      </w:rPr>
                      <w:t>收案條件</w:t>
                    </w:r>
                    <w:r w:rsidRPr="00214880">
                      <w:rPr>
                        <w:rFonts w:ascii="標楷體" w:eastAsia="標楷體" w:hAnsi="標楷體" w:hint="eastAsia"/>
                        <w:szCs w:val="24"/>
                      </w:rPr>
                      <w:t>：</w:t>
                    </w:r>
                  </w:p>
                  <w:p w:rsidR="00121AFA" w:rsidRPr="00121AFA" w:rsidRDefault="00214880" w:rsidP="00121AFA">
                    <w:pPr>
                      <w:pStyle w:val="a3"/>
                      <w:numPr>
                        <w:ilvl w:val="0"/>
                        <w:numId w:val="2"/>
                      </w:numPr>
                      <w:ind w:leftChars="0"/>
                      <w:rPr>
                        <w:rFonts w:ascii="標楷體" w:eastAsia="標楷體" w:hAnsi="標楷體"/>
                        <w:szCs w:val="24"/>
                      </w:rPr>
                    </w:pPr>
                    <w:r w:rsidRPr="00121AFA">
                      <w:rPr>
                        <w:rFonts w:ascii="標楷體" w:eastAsia="標楷體" w:hAnsi="標楷體" w:hint="eastAsia"/>
                        <w:szCs w:val="24"/>
                      </w:rPr>
                      <w:t>經</w:t>
                    </w:r>
                    <w:r w:rsidR="007A3110" w:rsidRPr="00121AFA">
                      <w:rPr>
                        <w:rFonts w:ascii="標楷體" w:eastAsia="標楷體" w:hAnsi="標楷體" w:hint="eastAsia"/>
                        <w:szCs w:val="24"/>
                      </w:rPr>
                      <w:t>醫師評估為非鴉片類藥</w:t>
                    </w:r>
                  </w:p>
                  <w:p w:rsidR="002C1590" w:rsidRPr="00121AFA" w:rsidRDefault="007A3110" w:rsidP="00121AFA">
                    <w:pPr>
                      <w:pStyle w:val="a3"/>
                      <w:ind w:leftChars="0" w:left="360"/>
                      <w:rPr>
                        <w:rFonts w:ascii="標楷體" w:eastAsia="標楷體" w:hAnsi="標楷體"/>
                        <w:szCs w:val="24"/>
                      </w:rPr>
                    </w:pPr>
                    <w:proofErr w:type="gramStart"/>
                    <w:r w:rsidRPr="00121AFA">
                      <w:rPr>
                        <w:rFonts w:ascii="標楷體" w:eastAsia="標楷體" w:hAnsi="標楷體" w:hint="eastAsia"/>
                        <w:szCs w:val="24"/>
                      </w:rPr>
                      <w:t>癮者</w:t>
                    </w:r>
                    <w:proofErr w:type="gramEnd"/>
                    <w:r w:rsidR="00214880" w:rsidRPr="00121AFA">
                      <w:rPr>
                        <w:rFonts w:ascii="標楷體" w:eastAsia="標楷體" w:hAnsi="標楷體" w:hint="eastAsia"/>
                        <w:szCs w:val="24"/>
                      </w:rPr>
                      <w:t>。</w:t>
                    </w:r>
                    <w:r w:rsidRPr="00121AFA">
                      <w:rPr>
                        <w:rFonts w:ascii="標楷體" w:eastAsia="標楷體" w:hAnsi="標楷體"/>
                        <w:szCs w:val="24"/>
                      </w:rPr>
                      <w:t xml:space="preserve"> </w:t>
                    </w:r>
                  </w:p>
                  <w:p w:rsidR="00121AFA" w:rsidRPr="00121AFA" w:rsidRDefault="007A3110" w:rsidP="00121AFA">
                    <w:pPr>
                      <w:pStyle w:val="a3"/>
                      <w:numPr>
                        <w:ilvl w:val="0"/>
                        <w:numId w:val="2"/>
                      </w:numPr>
                      <w:ind w:leftChars="0"/>
                      <w:rPr>
                        <w:rFonts w:ascii="標楷體" w:eastAsia="標楷體" w:hAnsi="標楷體"/>
                        <w:szCs w:val="24"/>
                      </w:rPr>
                    </w:pPr>
                    <w:r w:rsidRPr="00121AFA">
                      <w:rPr>
                        <w:rFonts w:ascii="標楷體" w:eastAsia="標楷體" w:hAnsi="標楷體" w:hint="eastAsia"/>
                        <w:szCs w:val="24"/>
                      </w:rPr>
                      <w:t>具結未至其他機構接受相</w:t>
                    </w:r>
                  </w:p>
                  <w:p w:rsidR="002C1590" w:rsidRPr="00121AFA" w:rsidRDefault="007A3110" w:rsidP="00121AFA">
                    <w:pPr>
                      <w:pStyle w:val="a3"/>
                      <w:ind w:leftChars="0" w:left="360"/>
                      <w:rPr>
                        <w:rFonts w:ascii="標楷體" w:eastAsia="標楷體" w:hAnsi="標楷體"/>
                        <w:sz w:val="26"/>
                        <w:szCs w:val="26"/>
                      </w:rPr>
                    </w:pPr>
                    <w:r w:rsidRPr="00121AFA">
                      <w:rPr>
                        <w:rFonts w:ascii="標楷體" w:eastAsia="標楷體" w:hAnsi="標楷體" w:hint="eastAsia"/>
                        <w:szCs w:val="24"/>
                      </w:rPr>
                      <w:t>同治療費用補助</w:t>
                    </w:r>
                    <w:r w:rsidR="00214880" w:rsidRPr="00121AFA">
                      <w:rPr>
                        <w:rFonts w:ascii="標楷體" w:eastAsia="標楷體" w:hAnsi="標楷體" w:hint="eastAsia"/>
                        <w:szCs w:val="24"/>
                      </w:rPr>
                      <w:t>。</w:t>
                    </w:r>
                    <w:r w:rsidRPr="00121AFA">
                      <w:rPr>
                        <w:rFonts w:ascii="標楷體" w:eastAsia="標楷體" w:hAnsi="標楷體"/>
                        <w:sz w:val="26"/>
                        <w:szCs w:val="26"/>
                      </w:rPr>
                      <w:t xml:space="preserve"> </w:t>
                    </w:r>
                  </w:p>
                  <w:p w:rsidR="00214880" w:rsidRPr="00214880" w:rsidRDefault="00214880"/>
                </w:txbxContent>
              </v:textbox>
            </v:rect>
          </v:group>
        </w:pict>
      </w:r>
    </w:p>
    <w:p w:rsidR="002D24D0" w:rsidRDefault="002D24D0" w:rsidP="002D24D0">
      <w:pPr>
        <w:ind w:leftChars="-236" w:left="-126" w:rightChars="-260" w:right="-624" w:hangingChars="157" w:hanging="440"/>
        <w:rPr>
          <w:rFonts w:ascii="標楷體" w:eastAsia="標楷體" w:hAnsi="標楷體"/>
          <w:bCs/>
          <w:sz w:val="28"/>
          <w:szCs w:val="28"/>
        </w:rPr>
      </w:pPr>
    </w:p>
    <w:p w:rsidR="002D24D0" w:rsidRDefault="002D24D0" w:rsidP="002D24D0">
      <w:pPr>
        <w:ind w:leftChars="-236" w:left="-126" w:rightChars="-260" w:right="-624" w:hangingChars="157" w:hanging="440"/>
        <w:rPr>
          <w:rFonts w:ascii="標楷體" w:eastAsia="標楷體" w:hAnsi="標楷體"/>
          <w:bCs/>
          <w:sz w:val="28"/>
          <w:szCs w:val="28"/>
        </w:rPr>
      </w:pPr>
    </w:p>
    <w:p w:rsidR="002D24D0" w:rsidRDefault="002D24D0" w:rsidP="002D24D0">
      <w:pPr>
        <w:ind w:leftChars="-236" w:left="-126" w:rightChars="-260" w:right="-624" w:hangingChars="157" w:hanging="440"/>
        <w:rPr>
          <w:rFonts w:ascii="標楷體" w:eastAsia="標楷體" w:hAnsi="標楷體"/>
          <w:bCs/>
          <w:sz w:val="28"/>
          <w:szCs w:val="28"/>
        </w:rPr>
      </w:pPr>
    </w:p>
    <w:p w:rsidR="002D24D0" w:rsidRDefault="002D24D0" w:rsidP="002D24D0">
      <w:pPr>
        <w:ind w:leftChars="-236" w:left="-126" w:rightChars="-260" w:right="-624" w:hangingChars="157" w:hanging="440"/>
        <w:rPr>
          <w:rFonts w:ascii="標楷體" w:eastAsia="標楷體" w:hAnsi="標楷體"/>
          <w:bCs/>
          <w:sz w:val="28"/>
          <w:szCs w:val="28"/>
        </w:rPr>
      </w:pPr>
    </w:p>
    <w:p w:rsidR="002D24D0" w:rsidRDefault="002D24D0" w:rsidP="002D24D0">
      <w:pPr>
        <w:ind w:leftChars="-236" w:left="-126" w:rightChars="-260" w:right="-624" w:hangingChars="157" w:hanging="440"/>
        <w:rPr>
          <w:rFonts w:ascii="標楷體" w:eastAsia="標楷體" w:hAnsi="標楷體"/>
          <w:bCs/>
          <w:sz w:val="28"/>
          <w:szCs w:val="28"/>
        </w:rPr>
      </w:pPr>
    </w:p>
    <w:p w:rsidR="002D24D0" w:rsidRDefault="002D24D0" w:rsidP="002D24D0">
      <w:pPr>
        <w:ind w:leftChars="-236" w:left="-126" w:rightChars="-260" w:right="-624" w:hangingChars="157" w:hanging="440"/>
        <w:rPr>
          <w:rFonts w:ascii="標楷體" w:eastAsia="標楷體" w:hAnsi="標楷體"/>
          <w:bCs/>
          <w:sz w:val="28"/>
          <w:szCs w:val="28"/>
        </w:rPr>
      </w:pPr>
    </w:p>
    <w:p w:rsidR="002D24D0" w:rsidRDefault="002D24D0" w:rsidP="002D24D0">
      <w:pPr>
        <w:ind w:leftChars="-236" w:left="-126" w:rightChars="-260" w:right="-624" w:hangingChars="157" w:hanging="440"/>
        <w:rPr>
          <w:rFonts w:ascii="標楷體" w:eastAsia="標楷體" w:hAnsi="標楷體"/>
          <w:bCs/>
          <w:sz w:val="28"/>
          <w:szCs w:val="28"/>
        </w:rPr>
      </w:pPr>
    </w:p>
    <w:p w:rsidR="002D24D0" w:rsidRDefault="002D24D0" w:rsidP="002D24D0">
      <w:pPr>
        <w:ind w:leftChars="-236" w:left="-126" w:rightChars="-260" w:right="-624" w:hangingChars="157" w:hanging="440"/>
        <w:rPr>
          <w:rFonts w:ascii="標楷體" w:eastAsia="標楷體" w:hAnsi="標楷體"/>
          <w:bCs/>
          <w:sz w:val="28"/>
          <w:szCs w:val="28"/>
        </w:rPr>
      </w:pPr>
    </w:p>
    <w:p w:rsidR="002D24D0" w:rsidRDefault="002D24D0" w:rsidP="002D24D0">
      <w:pPr>
        <w:ind w:leftChars="-236" w:left="-126" w:rightChars="-260" w:right="-624" w:hangingChars="157" w:hanging="440"/>
        <w:rPr>
          <w:rFonts w:ascii="標楷體" w:eastAsia="標楷體" w:hAnsi="標楷體"/>
          <w:bCs/>
          <w:sz w:val="28"/>
          <w:szCs w:val="28"/>
        </w:rPr>
      </w:pPr>
    </w:p>
    <w:p w:rsidR="002D24D0" w:rsidRDefault="002D24D0" w:rsidP="002D24D0">
      <w:pPr>
        <w:ind w:leftChars="-236" w:left="-126" w:rightChars="-260" w:right="-624" w:hangingChars="157" w:hanging="440"/>
        <w:rPr>
          <w:rFonts w:ascii="標楷體" w:eastAsia="標楷體" w:hAnsi="標楷體"/>
          <w:bCs/>
          <w:sz w:val="28"/>
          <w:szCs w:val="28"/>
        </w:rPr>
      </w:pPr>
    </w:p>
    <w:p w:rsidR="002D24D0" w:rsidRDefault="002D24D0" w:rsidP="002D24D0">
      <w:pPr>
        <w:ind w:leftChars="-236" w:left="-126" w:rightChars="-260" w:right="-624" w:hangingChars="157" w:hanging="440"/>
        <w:rPr>
          <w:rFonts w:ascii="標楷體" w:eastAsia="標楷體" w:hAnsi="標楷體"/>
          <w:bCs/>
          <w:sz w:val="28"/>
          <w:szCs w:val="28"/>
        </w:rPr>
      </w:pPr>
    </w:p>
    <w:p w:rsidR="002D24D0" w:rsidRDefault="002D24D0" w:rsidP="002D24D0">
      <w:pPr>
        <w:ind w:leftChars="-236" w:left="-126" w:rightChars="-260" w:right="-624" w:hangingChars="157" w:hanging="440"/>
        <w:rPr>
          <w:rFonts w:ascii="標楷體" w:eastAsia="標楷體" w:hAnsi="標楷體"/>
          <w:bCs/>
          <w:sz w:val="28"/>
          <w:szCs w:val="28"/>
        </w:rPr>
      </w:pPr>
    </w:p>
    <w:p w:rsidR="002D24D0" w:rsidRDefault="002D24D0" w:rsidP="002D24D0">
      <w:pPr>
        <w:ind w:leftChars="-236" w:left="-126" w:rightChars="-260" w:right="-624" w:hangingChars="157" w:hanging="440"/>
        <w:rPr>
          <w:rFonts w:ascii="標楷體" w:eastAsia="標楷體" w:hAnsi="標楷體"/>
          <w:bCs/>
          <w:sz w:val="28"/>
          <w:szCs w:val="28"/>
        </w:rPr>
      </w:pPr>
    </w:p>
    <w:p w:rsidR="002D24D0" w:rsidRDefault="002D24D0" w:rsidP="002D24D0">
      <w:pPr>
        <w:ind w:leftChars="-236" w:left="-126" w:rightChars="-260" w:right="-624" w:hangingChars="157" w:hanging="440"/>
        <w:rPr>
          <w:rFonts w:ascii="標楷體" w:eastAsia="標楷體" w:hAnsi="標楷體"/>
          <w:bCs/>
          <w:sz w:val="28"/>
          <w:szCs w:val="28"/>
        </w:rPr>
      </w:pPr>
    </w:p>
    <w:p w:rsidR="002D24D0" w:rsidRDefault="002D24D0" w:rsidP="002D24D0">
      <w:pPr>
        <w:spacing w:line="600" w:lineRule="exact"/>
        <w:ind w:leftChars="-236" w:left="-126" w:rightChars="-260" w:right="-624" w:hangingChars="157" w:hanging="440"/>
        <w:rPr>
          <w:rFonts w:ascii="標楷體" w:eastAsia="標楷體" w:hAnsi="標楷體"/>
          <w:bCs/>
          <w:sz w:val="28"/>
          <w:szCs w:val="28"/>
        </w:rPr>
      </w:pPr>
    </w:p>
    <w:p w:rsidR="002D24D0" w:rsidRPr="002D24D0" w:rsidRDefault="002D24D0" w:rsidP="002D24D0">
      <w:pPr>
        <w:spacing w:line="600" w:lineRule="exact"/>
        <w:ind w:leftChars="-236" w:left="-158" w:rightChars="-260" w:right="-624" w:hangingChars="157" w:hanging="408"/>
        <w:rPr>
          <w:rFonts w:ascii="標楷體" w:eastAsia="標楷體" w:hAnsi="標楷體"/>
          <w:bCs/>
          <w:sz w:val="26"/>
          <w:szCs w:val="26"/>
        </w:rPr>
      </w:pPr>
      <w:r w:rsidRPr="002D24D0">
        <w:rPr>
          <w:rFonts w:ascii="標楷體" w:eastAsia="標楷體" w:hAnsi="標楷體" w:hint="eastAsia"/>
          <w:bCs/>
          <w:sz w:val="26"/>
          <w:szCs w:val="26"/>
        </w:rPr>
        <w:t>※</w:t>
      </w:r>
      <w:r w:rsidRPr="00D235D8">
        <w:rPr>
          <w:rFonts w:ascii="標楷體" w:eastAsia="標楷體" w:hAnsi="標楷體" w:hint="eastAsia"/>
          <w:b/>
          <w:bCs/>
          <w:sz w:val="26"/>
          <w:szCs w:val="26"/>
        </w:rPr>
        <w:t>補助原則</w:t>
      </w:r>
      <w:r w:rsidRPr="002D24D0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2D24D0" w:rsidRPr="002D24D0" w:rsidRDefault="002D24D0" w:rsidP="002D24D0">
      <w:pPr>
        <w:spacing w:line="600" w:lineRule="exact"/>
        <w:ind w:leftChars="-236" w:left="-158" w:rightChars="-260" w:right="-624" w:hangingChars="157" w:hanging="408"/>
        <w:rPr>
          <w:rFonts w:ascii="標楷體" w:eastAsia="標楷體" w:hAnsi="標楷體"/>
          <w:bCs/>
          <w:sz w:val="26"/>
          <w:szCs w:val="26"/>
        </w:rPr>
      </w:pPr>
      <w:r w:rsidRPr="002D24D0">
        <w:rPr>
          <w:rFonts w:ascii="標楷體" w:eastAsia="標楷體" w:hAnsi="標楷體" w:hint="eastAsia"/>
          <w:bCs/>
          <w:sz w:val="26"/>
          <w:szCs w:val="26"/>
        </w:rPr>
        <w:t>1.</w:t>
      </w:r>
      <w:proofErr w:type="gramStart"/>
      <w:r w:rsidRPr="002D24D0">
        <w:rPr>
          <w:rFonts w:eastAsia="標楷體" w:hAnsi="標楷體" w:hint="eastAsia"/>
          <w:kern w:val="0"/>
          <w:sz w:val="26"/>
          <w:szCs w:val="26"/>
        </w:rPr>
        <w:t>每位藥癮</w:t>
      </w:r>
      <w:proofErr w:type="gramEnd"/>
      <w:r w:rsidRPr="002D24D0">
        <w:rPr>
          <w:rFonts w:eastAsia="標楷體" w:hAnsi="標楷體" w:hint="eastAsia"/>
          <w:kern w:val="0"/>
          <w:sz w:val="26"/>
          <w:szCs w:val="26"/>
        </w:rPr>
        <w:t>者以補助新台幣</w:t>
      </w:r>
      <w:r w:rsidRPr="002D24D0">
        <w:rPr>
          <w:rFonts w:eastAsia="標楷體" w:hAnsi="標楷體" w:hint="eastAsia"/>
          <w:kern w:val="0"/>
          <w:sz w:val="26"/>
          <w:szCs w:val="26"/>
        </w:rPr>
        <w:t>1</w:t>
      </w:r>
      <w:r w:rsidRPr="002D24D0">
        <w:rPr>
          <w:rFonts w:eastAsia="標楷體" w:hAnsi="標楷體" w:hint="eastAsia"/>
          <w:kern w:val="0"/>
          <w:sz w:val="26"/>
          <w:szCs w:val="26"/>
        </w:rPr>
        <w:t>萬元為限</w:t>
      </w:r>
      <w:r w:rsidRPr="002D24D0">
        <w:rPr>
          <w:rFonts w:eastAsia="標楷體" w:hAnsi="標楷體"/>
          <w:kern w:val="0"/>
          <w:sz w:val="26"/>
          <w:szCs w:val="26"/>
        </w:rPr>
        <w:t>。</w:t>
      </w:r>
    </w:p>
    <w:p w:rsidR="00615971" w:rsidRPr="002D24D0" w:rsidRDefault="002D24D0" w:rsidP="002D24D0">
      <w:pPr>
        <w:spacing w:line="600" w:lineRule="exact"/>
        <w:ind w:leftChars="-236" w:left="-158" w:rightChars="-260" w:right="-624" w:hangingChars="157" w:hanging="408"/>
        <w:rPr>
          <w:rFonts w:ascii="標楷體" w:eastAsia="標楷體" w:hAnsi="標楷體"/>
          <w:bCs/>
          <w:sz w:val="26"/>
          <w:szCs w:val="26"/>
        </w:rPr>
      </w:pPr>
      <w:r w:rsidRPr="002D24D0">
        <w:rPr>
          <w:rFonts w:ascii="標楷體" w:eastAsia="標楷體" w:hAnsi="標楷體" w:hint="eastAsia"/>
          <w:bCs/>
          <w:sz w:val="26"/>
          <w:szCs w:val="26"/>
        </w:rPr>
        <w:t>2.</w:t>
      </w:r>
      <w:r w:rsidRPr="00D235D8">
        <w:rPr>
          <w:rFonts w:ascii="標楷體" w:eastAsia="標楷體" w:hAnsi="標楷體" w:hint="eastAsia"/>
          <w:bCs/>
          <w:sz w:val="26"/>
          <w:szCs w:val="26"/>
        </w:rPr>
        <w:t>已排定之療程，連續三次無故未依約接受治療者，視為中斷治療，將取消補助資格</w:t>
      </w:r>
      <w:r w:rsidRPr="002D24D0">
        <w:rPr>
          <w:rFonts w:ascii="標楷體" w:eastAsia="標楷體" w:hAnsi="標楷體" w:hint="eastAsia"/>
          <w:bCs/>
          <w:sz w:val="26"/>
          <w:szCs w:val="26"/>
        </w:rPr>
        <w:t>。</w:t>
      </w:r>
    </w:p>
    <w:sectPr w:rsidR="00615971" w:rsidRPr="002D24D0" w:rsidSect="001510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DEB" w:rsidRDefault="00347DEB" w:rsidP="00311456">
      <w:r>
        <w:separator/>
      </w:r>
    </w:p>
  </w:endnote>
  <w:endnote w:type="continuationSeparator" w:id="0">
    <w:p w:rsidR="00347DEB" w:rsidRDefault="00347DEB" w:rsidP="00311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DEB" w:rsidRDefault="00347DEB" w:rsidP="00311456">
      <w:r>
        <w:separator/>
      </w:r>
    </w:p>
  </w:footnote>
  <w:footnote w:type="continuationSeparator" w:id="0">
    <w:p w:rsidR="00347DEB" w:rsidRDefault="00347DEB" w:rsidP="003114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6F22"/>
    <w:multiLevelType w:val="hybridMultilevel"/>
    <w:tmpl w:val="5FFCDF38"/>
    <w:lvl w:ilvl="0" w:tplc="04EC4D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1E89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6483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4B4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D08F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BC28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6DC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058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A4B9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4E5479"/>
    <w:multiLevelType w:val="hybridMultilevel"/>
    <w:tmpl w:val="2FD8E7C6"/>
    <w:lvl w:ilvl="0" w:tplc="E3B68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F657B7"/>
    <w:multiLevelType w:val="hybridMultilevel"/>
    <w:tmpl w:val="C0063288"/>
    <w:lvl w:ilvl="0" w:tplc="DCEA93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CC57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AC9D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292F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AA6D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3840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CA78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0493D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8C3AF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BC0DB0"/>
    <w:multiLevelType w:val="hybridMultilevel"/>
    <w:tmpl w:val="86A27C20"/>
    <w:lvl w:ilvl="0" w:tplc="5900AD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FEDF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6A9428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CFC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01B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9E7D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661B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8CB3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48361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>
      <o:colormru v:ext="edit" colors="#ff6,#06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F0C"/>
    <w:rsid w:val="0006075D"/>
    <w:rsid w:val="00121AFA"/>
    <w:rsid w:val="001510E8"/>
    <w:rsid w:val="00214880"/>
    <w:rsid w:val="002C1590"/>
    <w:rsid w:val="002D24D0"/>
    <w:rsid w:val="002F2F0C"/>
    <w:rsid w:val="00311456"/>
    <w:rsid w:val="00347DEB"/>
    <w:rsid w:val="00615971"/>
    <w:rsid w:val="006E5D2F"/>
    <w:rsid w:val="00737255"/>
    <w:rsid w:val="007A3110"/>
    <w:rsid w:val="00B37B25"/>
    <w:rsid w:val="00CE21FA"/>
    <w:rsid w:val="00D235D8"/>
    <w:rsid w:val="00F3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6,#06f"/>
      <o:colormenu v:ext="edit" fillcolor="none"/>
    </o:shapedefaults>
    <o:shapelayout v:ext="edit">
      <o:idmap v:ext="edit" data="1"/>
      <o:rules v:ext="edit">
        <o:r id="V:Rule8" type="connector" idref="#_x0000_s1028"/>
        <o:r id="V:Rule9" type="connector" idref="#_x0000_s1030"/>
        <o:r id="V:Rule10" type="connector" idref="#_x0000_s1029"/>
        <o:r id="V:Rule11" type="connector" idref="#_x0000_s1034"/>
        <o:r id="V:Rule12" type="connector" idref="#_x0000_s1039"/>
        <o:r id="V:Rule13" type="connector" idref="#_x0000_s1031"/>
        <o:r id="V:Rule14" type="connector" idref="#_x0000_s1041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AF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11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1145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11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1145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2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4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CD997-2D2F-41A9-98B7-C1A1E87A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yhua</dc:creator>
  <cp:lastModifiedBy>yhua</cp:lastModifiedBy>
  <cp:revision>7</cp:revision>
  <cp:lastPrinted>2014-08-27T03:38:00Z</cp:lastPrinted>
  <dcterms:created xsi:type="dcterms:W3CDTF">2014-08-27T02:14:00Z</dcterms:created>
  <dcterms:modified xsi:type="dcterms:W3CDTF">2014-09-24T07:32:00Z</dcterms:modified>
</cp:coreProperties>
</file>