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14688"/>
      </w:tblGrid>
      <w:tr w:rsidR="008B4F69" w:rsidRPr="008B4F69" w:rsidTr="008B4F69"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69" w:rsidRPr="008B4F69" w:rsidRDefault="008B4F69" w:rsidP="008B4F69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8B4F69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法規名稱：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69" w:rsidRPr="008B4F69" w:rsidRDefault="008B4F69" w:rsidP="008B4F69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8B4F69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國民教育法施行細則</w:t>
            </w:r>
          </w:p>
        </w:tc>
      </w:tr>
      <w:tr w:rsidR="008B4F69" w:rsidRPr="008B4F69" w:rsidTr="008B4F69"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69" w:rsidRPr="008B4F69" w:rsidRDefault="008B4F69" w:rsidP="008B4F69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8B4F69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公發布日：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69" w:rsidRPr="008B4F69" w:rsidRDefault="008B4F69" w:rsidP="008B4F69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8B4F69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民國 71 年 07 月 07 日</w:t>
            </w:r>
          </w:p>
        </w:tc>
      </w:tr>
      <w:tr w:rsidR="008B4F69" w:rsidRPr="008B4F69" w:rsidTr="008B4F69"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69" w:rsidRPr="008B4F69" w:rsidRDefault="008B4F69" w:rsidP="008B4F69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8B4F69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修正日期：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69" w:rsidRPr="008B4F69" w:rsidRDefault="008B4F69" w:rsidP="008B4F69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8B4F69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民國 105 年 07 月 01 日</w:t>
            </w:r>
          </w:p>
        </w:tc>
      </w:tr>
      <w:tr w:rsidR="008B4F69" w:rsidRPr="008B4F69" w:rsidTr="008B4F69"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69" w:rsidRPr="008B4F69" w:rsidRDefault="008B4F69" w:rsidP="008B4F69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8B4F69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發文字號：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69" w:rsidRPr="008B4F69" w:rsidRDefault="008B4F69" w:rsidP="008B4F69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proofErr w:type="gramStart"/>
            <w:r w:rsidRPr="008B4F69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臺</w:t>
            </w:r>
            <w:proofErr w:type="gramEnd"/>
            <w:r w:rsidRPr="008B4F69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教授</w:t>
            </w:r>
            <w:proofErr w:type="gramStart"/>
            <w:r w:rsidRPr="008B4F69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國部字第1050060311</w:t>
            </w:r>
            <w:proofErr w:type="gramEnd"/>
            <w:r w:rsidRPr="008B4F69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B號 令</w:t>
            </w:r>
          </w:p>
        </w:tc>
      </w:tr>
      <w:tr w:rsidR="008B4F69" w:rsidRPr="008B4F69" w:rsidTr="008B4F69"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69" w:rsidRPr="008B4F69" w:rsidRDefault="008B4F69" w:rsidP="008B4F69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8B4F69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法規體系：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69" w:rsidRPr="008B4F69" w:rsidRDefault="008B4F69" w:rsidP="008B4F69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8B4F69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國民及學前教育</w:t>
            </w:r>
          </w:p>
        </w:tc>
      </w:tr>
      <w:tr w:rsidR="008B4F69" w:rsidRPr="008B4F69" w:rsidTr="008B4F69"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69" w:rsidRPr="008B4F69" w:rsidRDefault="008B4F69" w:rsidP="008B4F69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8B4F69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立法理由：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69" w:rsidRPr="008B4F69" w:rsidRDefault="008B4F69" w:rsidP="008B4F69">
            <w:pPr>
              <w:widowControl/>
              <w:numPr>
                <w:ilvl w:val="0"/>
                <w:numId w:val="1"/>
              </w:numPr>
              <w:ind w:left="0"/>
              <w:textAlignment w:val="bottom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hyperlink r:id="rId6" w:tooltip="下載 1001107立法理由.pdf 檔案" w:history="1">
              <w:r w:rsidRPr="008B4F69">
                <w:rPr>
                  <w:rFonts w:ascii="細明體" w:eastAsia="細明體" w:hAnsi="細明體" w:cs="新細明體" w:hint="eastAsia"/>
                  <w:color w:val="993399"/>
                  <w:kern w:val="0"/>
                  <w:sz w:val="27"/>
                  <w:szCs w:val="27"/>
                </w:rPr>
                <w:t>1001107立法理由.pdf</w:t>
              </w:r>
            </w:hyperlink>
          </w:p>
          <w:p w:rsidR="008B4F69" w:rsidRPr="008B4F69" w:rsidRDefault="008B4F69" w:rsidP="008B4F69">
            <w:pPr>
              <w:widowControl/>
              <w:numPr>
                <w:ilvl w:val="0"/>
                <w:numId w:val="1"/>
              </w:numPr>
              <w:ind w:left="0"/>
              <w:textAlignment w:val="bottom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hyperlink r:id="rId7" w:tooltip="下載 0930726立法理由.pdf 檔案" w:history="1">
              <w:r w:rsidRPr="008B4F69">
                <w:rPr>
                  <w:rFonts w:ascii="細明體" w:eastAsia="細明體" w:hAnsi="細明體" w:cs="新細明體" w:hint="eastAsia"/>
                  <w:color w:val="993399"/>
                  <w:kern w:val="0"/>
                  <w:sz w:val="27"/>
                  <w:szCs w:val="27"/>
                </w:rPr>
                <w:t>0930726立法理由.pdf</w:t>
              </w:r>
            </w:hyperlink>
          </w:p>
          <w:p w:rsidR="008B4F69" w:rsidRPr="008B4F69" w:rsidRDefault="008B4F69" w:rsidP="008B4F69">
            <w:pPr>
              <w:widowControl/>
              <w:numPr>
                <w:ilvl w:val="0"/>
                <w:numId w:val="1"/>
              </w:numPr>
              <w:ind w:left="0"/>
              <w:textAlignment w:val="bottom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hyperlink r:id="rId8" w:tooltip="下載 1030328立法理由.pdf 檔案" w:history="1">
              <w:r w:rsidRPr="008B4F69">
                <w:rPr>
                  <w:rFonts w:ascii="細明體" w:eastAsia="細明體" w:hAnsi="細明體" w:cs="新細明體" w:hint="eastAsia"/>
                  <w:color w:val="993399"/>
                  <w:kern w:val="0"/>
                  <w:sz w:val="27"/>
                  <w:szCs w:val="27"/>
                </w:rPr>
                <w:t>1030328立法理由.pdf</w:t>
              </w:r>
            </w:hyperlink>
          </w:p>
          <w:p w:rsidR="008B4F69" w:rsidRPr="008B4F69" w:rsidRDefault="008B4F69" w:rsidP="008B4F69">
            <w:pPr>
              <w:widowControl/>
              <w:numPr>
                <w:ilvl w:val="0"/>
                <w:numId w:val="1"/>
              </w:numPr>
              <w:ind w:left="0"/>
              <w:textAlignment w:val="bottom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hyperlink r:id="rId9" w:tooltip="下載 1050701國民教育法施行細則第七條總說明及對照表.pdf 檔案" w:history="1">
              <w:r w:rsidRPr="008B4F69">
                <w:rPr>
                  <w:rFonts w:ascii="細明體" w:eastAsia="細明體" w:hAnsi="細明體" w:cs="新細明體" w:hint="eastAsia"/>
                  <w:color w:val="993399"/>
                  <w:kern w:val="0"/>
                  <w:sz w:val="27"/>
                  <w:szCs w:val="27"/>
                </w:rPr>
                <w:t>1050701國民教育法施行細則</w:t>
              </w:r>
              <w:proofErr w:type="gramStart"/>
              <w:r w:rsidRPr="008B4F69">
                <w:rPr>
                  <w:rFonts w:ascii="細明體" w:eastAsia="細明體" w:hAnsi="細明體" w:cs="新細明體" w:hint="eastAsia"/>
                  <w:color w:val="993399"/>
                  <w:kern w:val="0"/>
                  <w:sz w:val="27"/>
                  <w:szCs w:val="27"/>
                </w:rPr>
                <w:t>第七條總說明</w:t>
              </w:r>
              <w:proofErr w:type="gramEnd"/>
              <w:r w:rsidRPr="008B4F69">
                <w:rPr>
                  <w:rFonts w:ascii="細明體" w:eastAsia="細明體" w:hAnsi="細明體" w:cs="新細明體" w:hint="eastAsia"/>
                  <w:color w:val="993399"/>
                  <w:kern w:val="0"/>
                  <w:sz w:val="27"/>
                  <w:szCs w:val="27"/>
                </w:rPr>
                <w:t>及對照表.pdf</w:t>
              </w:r>
            </w:hyperlink>
          </w:p>
        </w:tc>
      </w:tr>
      <w:tr w:rsidR="008B4F69" w:rsidRPr="008B4F69" w:rsidTr="008B4F69"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69" w:rsidRPr="008B4F69" w:rsidRDefault="008B4F69" w:rsidP="008B4F69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8B4F69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圖表附件：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69" w:rsidRPr="008B4F69" w:rsidRDefault="008B4F69" w:rsidP="008B4F69">
            <w:pPr>
              <w:widowControl/>
              <w:numPr>
                <w:ilvl w:val="0"/>
                <w:numId w:val="2"/>
              </w:numPr>
              <w:ind w:left="0"/>
              <w:textAlignment w:val="bottom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hyperlink r:id="rId10" w:tooltip="下載 國民教育法施行細則第七條總說明及對照表.pdf 檔案" w:history="1">
              <w:r w:rsidRPr="008B4F69">
                <w:rPr>
                  <w:rFonts w:ascii="細明體" w:eastAsia="細明體" w:hAnsi="細明體" w:cs="新細明體" w:hint="eastAsia"/>
                  <w:color w:val="993399"/>
                  <w:kern w:val="0"/>
                  <w:sz w:val="27"/>
                  <w:szCs w:val="27"/>
                </w:rPr>
                <w:t>國民教育法施行細則</w:t>
              </w:r>
              <w:proofErr w:type="gramStart"/>
              <w:r w:rsidRPr="008B4F69">
                <w:rPr>
                  <w:rFonts w:ascii="細明體" w:eastAsia="細明體" w:hAnsi="細明體" w:cs="新細明體" w:hint="eastAsia"/>
                  <w:color w:val="993399"/>
                  <w:kern w:val="0"/>
                  <w:sz w:val="27"/>
                  <w:szCs w:val="27"/>
                </w:rPr>
                <w:t>第七條總說明</w:t>
              </w:r>
              <w:proofErr w:type="gramEnd"/>
              <w:r w:rsidRPr="008B4F69">
                <w:rPr>
                  <w:rFonts w:ascii="細明體" w:eastAsia="細明體" w:hAnsi="細明體" w:cs="新細明體" w:hint="eastAsia"/>
                  <w:color w:val="993399"/>
                  <w:kern w:val="0"/>
                  <w:sz w:val="27"/>
                  <w:szCs w:val="27"/>
                </w:rPr>
                <w:t>及對照表.pdf</w:t>
              </w:r>
            </w:hyperlink>
          </w:p>
        </w:tc>
      </w:tr>
    </w:tbl>
    <w:p w:rsidR="008B4F69" w:rsidRPr="008B4F69" w:rsidRDefault="008B4F69" w:rsidP="008B4F6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B4F69">
        <w:rPr>
          <w:rFonts w:ascii="新細明體" w:eastAsia="新細明體" w:hAnsi="新細明體" w:cs="新細明體"/>
          <w:kern w:val="0"/>
          <w:szCs w:val="24"/>
        </w:rPr>
        <w:t>法規功能按鈕區</w:t>
      </w:r>
    </w:p>
    <w:p w:rsidR="008B4F69" w:rsidRPr="008B4F69" w:rsidRDefault="008B4F69" w:rsidP="008B4F69">
      <w:pPr>
        <w:widowControl/>
        <w:numPr>
          <w:ilvl w:val="0"/>
          <w:numId w:val="3"/>
        </w:numPr>
        <w:shd w:val="clear" w:color="auto" w:fill="FFFFFF"/>
        <w:ind w:left="0"/>
        <w:jc w:val="center"/>
        <w:textAlignment w:val="bottom"/>
        <w:rPr>
          <w:rFonts w:ascii="微軟正黑體" w:eastAsia="微軟正黑體" w:hAnsi="微軟正黑體" w:cs="新細明體"/>
          <w:color w:val="000000"/>
          <w:kern w:val="0"/>
          <w:sz w:val="27"/>
          <w:szCs w:val="27"/>
        </w:rPr>
      </w:pPr>
      <w:hyperlink r:id="rId11" w:anchor="lawmenu" w:history="1">
        <w:r w:rsidRPr="008B4F69">
          <w:rPr>
            <w:rFonts w:ascii="微軟正黑體" w:eastAsia="微軟正黑體" w:hAnsi="微軟正黑體" w:cs="新細明體" w:hint="eastAsia"/>
            <w:color w:val="FFFFFF"/>
            <w:kern w:val="0"/>
            <w:sz w:val="27"/>
            <w:szCs w:val="27"/>
            <w:bdr w:val="single" w:sz="6" w:space="5" w:color="446C14" w:frame="1"/>
            <w:shd w:val="clear" w:color="auto" w:fill="5D8A28"/>
          </w:rPr>
          <w:t>法規內容</w:t>
        </w:r>
      </w:hyperlink>
    </w:p>
    <w:p w:rsidR="008B4F69" w:rsidRPr="008B4F69" w:rsidRDefault="008B4F69" w:rsidP="008B4F69">
      <w:pPr>
        <w:widowControl/>
        <w:numPr>
          <w:ilvl w:val="0"/>
          <w:numId w:val="3"/>
        </w:numPr>
        <w:shd w:val="clear" w:color="auto" w:fill="FFFFFF"/>
        <w:ind w:left="0"/>
        <w:jc w:val="center"/>
        <w:textAlignment w:val="bottom"/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</w:pPr>
    </w:p>
    <w:p w:rsidR="008B4F69" w:rsidRPr="008B4F69" w:rsidRDefault="008B4F69" w:rsidP="008B4F69">
      <w:pPr>
        <w:widowControl/>
        <w:numPr>
          <w:ilvl w:val="0"/>
          <w:numId w:val="3"/>
        </w:numPr>
        <w:shd w:val="clear" w:color="auto" w:fill="FFFFFF"/>
        <w:ind w:left="0"/>
        <w:jc w:val="center"/>
        <w:textAlignment w:val="bottom"/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</w:pPr>
      <w:hyperlink r:id="rId12" w:anchor="lawmenu" w:history="1">
        <w:r w:rsidRPr="008B4F69">
          <w:rPr>
            <w:rFonts w:ascii="微軟正黑體" w:eastAsia="微軟正黑體" w:hAnsi="微軟正黑體" w:cs="新細明體" w:hint="eastAsia"/>
            <w:color w:val="FFFFFF"/>
            <w:kern w:val="0"/>
            <w:sz w:val="27"/>
            <w:szCs w:val="27"/>
            <w:bdr w:val="single" w:sz="6" w:space="5" w:color="446C14" w:frame="1"/>
            <w:shd w:val="clear" w:color="auto" w:fill="5D8A28"/>
          </w:rPr>
          <w:t>條文檢索</w:t>
        </w:r>
      </w:hyperlink>
    </w:p>
    <w:p w:rsidR="008B4F69" w:rsidRPr="008B4F69" w:rsidRDefault="008B4F69" w:rsidP="008B4F69">
      <w:pPr>
        <w:widowControl/>
        <w:numPr>
          <w:ilvl w:val="0"/>
          <w:numId w:val="3"/>
        </w:numPr>
        <w:shd w:val="clear" w:color="auto" w:fill="FFFFFF"/>
        <w:ind w:left="0"/>
        <w:jc w:val="center"/>
        <w:textAlignment w:val="bottom"/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</w:pPr>
    </w:p>
    <w:p w:rsidR="008B4F69" w:rsidRPr="008B4F69" w:rsidRDefault="008B4F69" w:rsidP="008B4F69">
      <w:pPr>
        <w:widowControl/>
        <w:numPr>
          <w:ilvl w:val="0"/>
          <w:numId w:val="3"/>
        </w:numPr>
        <w:shd w:val="clear" w:color="auto" w:fill="FFFFFF"/>
        <w:ind w:left="0"/>
        <w:jc w:val="center"/>
        <w:textAlignment w:val="bottom"/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</w:pPr>
      <w:hyperlink r:id="rId13" w:anchor="lawmenu" w:history="1">
        <w:r w:rsidRPr="008B4F69">
          <w:rPr>
            <w:rFonts w:ascii="微軟正黑體" w:eastAsia="微軟正黑體" w:hAnsi="微軟正黑體" w:cs="新細明體" w:hint="eastAsia"/>
            <w:color w:val="FFFFFF"/>
            <w:kern w:val="0"/>
            <w:sz w:val="27"/>
            <w:szCs w:val="27"/>
            <w:bdr w:val="single" w:sz="6" w:space="5" w:color="446C14" w:frame="1"/>
            <w:shd w:val="clear" w:color="auto" w:fill="5D8A28"/>
          </w:rPr>
          <w:t>法規沿革</w:t>
        </w:r>
      </w:hyperlink>
    </w:p>
    <w:p w:rsidR="008B4F69" w:rsidRPr="008B4F69" w:rsidRDefault="008B4F69" w:rsidP="008B4F69">
      <w:pPr>
        <w:widowControl/>
        <w:numPr>
          <w:ilvl w:val="0"/>
          <w:numId w:val="3"/>
        </w:numPr>
        <w:shd w:val="clear" w:color="auto" w:fill="FFFFFF"/>
        <w:ind w:left="0"/>
        <w:jc w:val="center"/>
        <w:textAlignment w:val="bottom"/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</w:pPr>
      <w:hyperlink r:id="rId14" w:history="1">
        <w:r w:rsidRPr="008B4F69">
          <w:rPr>
            <w:rFonts w:ascii="微軟正黑體" w:eastAsia="微軟正黑體" w:hAnsi="微軟正黑體" w:cs="新細明體" w:hint="eastAsia"/>
            <w:color w:val="FFFFFF"/>
            <w:kern w:val="0"/>
            <w:sz w:val="27"/>
            <w:szCs w:val="27"/>
            <w:bdr w:val="single" w:sz="6" w:space="5" w:color="446C14" w:frame="1"/>
            <w:shd w:val="clear" w:color="auto" w:fill="5D8A28"/>
          </w:rPr>
          <w:t>歷史法規</w:t>
        </w:r>
      </w:hyperlink>
    </w:p>
    <w:p w:rsidR="008B4F69" w:rsidRPr="008B4F69" w:rsidRDefault="008B4F69" w:rsidP="008B4F69">
      <w:pPr>
        <w:widowControl/>
        <w:numPr>
          <w:ilvl w:val="0"/>
          <w:numId w:val="3"/>
        </w:numPr>
        <w:shd w:val="clear" w:color="auto" w:fill="FFFFFF"/>
        <w:ind w:left="0"/>
        <w:jc w:val="center"/>
        <w:textAlignment w:val="bottom"/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</w:pPr>
    </w:p>
    <w:p w:rsidR="008B4F69" w:rsidRPr="008B4F69" w:rsidRDefault="008B4F69" w:rsidP="008B4F69">
      <w:pPr>
        <w:widowControl/>
        <w:numPr>
          <w:ilvl w:val="0"/>
          <w:numId w:val="3"/>
        </w:numPr>
        <w:shd w:val="clear" w:color="auto" w:fill="FFFFFF"/>
        <w:ind w:left="0"/>
        <w:jc w:val="center"/>
        <w:textAlignment w:val="bottom"/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</w:pPr>
    </w:p>
    <w:p w:rsidR="008B4F69" w:rsidRPr="008B4F69" w:rsidRDefault="008B4F69" w:rsidP="008B4F69">
      <w:pPr>
        <w:widowControl/>
        <w:shd w:val="clear" w:color="auto" w:fill="E4F6F6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 </w:t>
      </w:r>
    </w:p>
    <w:p w:rsidR="008B4F69" w:rsidRPr="008B4F69" w:rsidRDefault="008B4F69" w:rsidP="008B4F69">
      <w:pPr>
        <w:widowControl/>
        <w:shd w:val="clear" w:color="auto" w:fill="E4F6F6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1 條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 w:hint="eastAsia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本細則依國民教育法 (以下簡稱本法) 第二十一條規定訂定之。</w:t>
      </w:r>
    </w:p>
    <w:p w:rsidR="008B4F69" w:rsidRPr="008B4F69" w:rsidRDefault="008B4F69" w:rsidP="008B4F69">
      <w:pPr>
        <w:widowControl/>
        <w:shd w:val="clear" w:color="auto" w:fill="E4F6F6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2 條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 w:hint="eastAsia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國民小學及國民中學之設置，除依本法第三條及第四條規定外，應依下列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各款辦理：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>一、以便利學生就讀為原則。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二、以分別設置為原則。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三、以不超過四十八班為原則。學校規模過大者，直轄市、縣 (市) 政府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    應增設學校，重劃學區。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四、交通不便、偏遠地區或情況特殊之地區，直轄市、縣 (市) 政府視實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    際需要與學習成效，選擇採取下列措施：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(</w:t>
      </w:r>
      <w:proofErr w:type="gramStart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一</w:t>
      </w:r>
      <w:proofErr w:type="gramEnd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) 設置分校或分班。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(二) 依強迫入學條例第十四條規定提供膳宿設備。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(三) 提供上下學所需之交通工具或補助其交通費。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(四) 其他有利學生就讀及學習之措施。</w:t>
      </w:r>
    </w:p>
    <w:p w:rsidR="008B4F69" w:rsidRPr="008B4F69" w:rsidRDefault="008B4F69" w:rsidP="008B4F69">
      <w:pPr>
        <w:widowControl/>
        <w:shd w:val="clear" w:color="auto" w:fill="E4F6F6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3 條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 w:hint="eastAsia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實施國民教育之學校名稱如下：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一、縣 (市) 立國民小學，應冠以縣 (市) 及鄉 (鎮、市、區) 之名稱；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    國民中學及合併設置之國民中小學，應冠以縣 (市) 立之名稱。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二、直轄市立國民小學，應冠以直轄市及行政區之名稱；國民中學及合併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    設置之國民中小學，應冠以直轄市立之名稱。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三、師資培育之大學依規定附設之實驗國民小學、國民中學或合併設置之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    國民中小學，應冠以師資培育大學之名稱。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四、私立國民小學、國民中學或合併設置之國民中小學，應依設置地區，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    冠以直轄市或縣 (市) 之名稱。</w:t>
      </w:r>
    </w:p>
    <w:p w:rsidR="008B4F69" w:rsidRPr="008B4F69" w:rsidRDefault="008B4F69" w:rsidP="008B4F69">
      <w:pPr>
        <w:widowControl/>
        <w:shd w:val="clear" w:color="auto" w:fill="E4F6F6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4 條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 w:hint="eastAsia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本法第三條第三項所定國民補習教育，依補習及進修教育法及其有關規定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辦理。</w:t>
      </w:r>
    </w:p>
    <w:p w:rsidR="008B4F69" w:rsidRPr="008B4F69" w:rsidRDefault="008B4F69" w:rsidP="008B4F69">
      <w:pPr>
        <w:widowControl/>
        <w:shd w:val="clear" w:color="auto" w:fill="E4F6F6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5 條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 w:hint="eastAsia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直轄市、縣 (市) 政府依本法第四條第二項規定劃分學區時，相鄰直轄市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、縣 (市) 地區之學區劃分，得由直轄市、縣 (市) 政府依實際狀況協商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定之。</w:t>
      </w:r>
    </w:p>
    <w:p w:rsidR="008B4F69" w:rsidRPr="008B4F69" w:rsidRDefault="008B4F69" w:rsidP="008B4F69">
      <w:pPr>
        <w:widowControl/>
        <w:shd w:val="clear" w:color="auto" w:fill="E4F6F6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6 條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 w:hint="eastAsia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（刪除）</w:t>
      </w:r>
    </w:p>
    <w:p w:rsidR="008B4F69" w:rsidRPr="008B4F69" w:rsidRDefault="008B4F69" w:rsidP="008B4F69">
      <w:pPr>
        <w:widowControl/>
        <w:shd w:val="clear" w:color="auto" w:fill="E4F6F6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7 條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 w:hint="eastAsia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國民中學依本法第五條第二項設置獎、助學金，其經費除由直轄市、縣</w:t>
      </w:r>
      <w:proofErr w:type="gramStart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（</w:t>
      </w:r>
      <w:proofErr w:type="gramEnd"/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市</w:t>
      </w:r>
      <w:proofErr w:type="gramStart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）</w:t>
      </w:r>
      <w:proofErr w:type="gramEnd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政府編列預算支應外，學校得自行籌措。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本法第五條第三項所定雜費，於公立國民中學及國民小學免收；於私立國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民中學及國民小學，以教學、訓輔業務、人事</w:t>
      </w:r>
      <w:proofErr w:type="gramStart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（</w:t>
      </w:r>
      <w:proofErr w:type="gramEnd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教職員含薪資、福利、退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休撫</w:t>
      </w:r>
      <w:proofErr w:type="gramStart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卹</w:t>
      </w:r>
      <w:proofErr w:type="gramEnd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等</w:t>
      </w:r>
      <w:proofErr w:type="gramStart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）</w:t>
      </w:r>
      <w:proofErr w:type="gramEnd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、行政管理、基本設備使用及校舍修建等所需費用為計算基準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本法第五條第三項所稱代收代辦費，指學生個人需要及使用之事項，或學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校為學生相關權益及福祉，接受委託代收代辦之下列費用：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>一、教科書書籍費、學生寄宿費、家長會費、學生團體保險費及午餐費。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二、前款</w:t>
      </w:r>
      <w:proofErr w:type="gramStart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以外，</w:t>
      </w:r>
      <w:proofErr w:type="gramEnd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直轄市、縣（市）政府依本法第五條第三項所定收支辦法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    規定得收取之費用。</w:t>
      </w:r>
    </w:p>
    <w:p w:rsidR="008B4F69" w:rsidRPr="008B4F69" w:rsidRDefault="008B4F69" w:rsidP="008B4F69">
      <w:pPr>
        <w:widowControl/>
        <w:shd w:val="clear" w:color="auto" w:fill="E4F6F6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8 條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 w:hint="eastAsia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國民小學及國民中學學生入學，除依本法第六條第一項、第二項及強迫入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學條例第七條、第八條規定外，並依下列各款辦理：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一、學齡兒童入學年齡之計算，以入學當年度九月一日滿六歲者。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二、分發學生入學之通知應記載下列事項：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(</w:t>
      </w:r>
      <w:proofErr w:type="gramStart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一</w:t>
      </w:r>
      <w:proofErr w:type="gramEnd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) 分發入學之學校名稱及地址。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(二) 新生報到、學校開學、註冊及上課之日期。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(三) 學生註冊須知及其他有關入學注意事項。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三、因故未入學之學生，其未超過規定年齡者，直轄市、縣 (市) 政府應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    輔導其入學。</w:t>
      </w:r>
    </w:p>
    <w:p w:rsidR="008B4F69" w:rsidRPr="008B4F69" w:rsidRDefault="008B4F69" w:rsidP="008B4F69">
      <w:pPr>
        <w:widowControl/>
        <w:shd w:val="clear" w:color="auto" w:fill="E4F6F6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9 條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 w:hint="eastAsia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本法有關戶政機關之造冊，得以戶政資訊系統連結取得戶籍資料之方式代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之。</w:t>
      </w:r>
    </w:p>
    <w:p w:rsidR="008B4F69" w:rsidRPr="008B4F69" w:rsidRDefault="008B4F69" w:rsidP="008B4F69">
      <w:pPr>
        <w:widowControl/>
        <w:shd w:val="clear" w:color="auto" w:fill="E4F6F6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10 條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 w:hint="eastAsia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國民小學及國民中學應依本法第八條之二第二項規定選用教科圖書，如無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適當教科圖書可供選用時，得由直轄市、縣 (市) 主管教育行政機關或學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校依本法第八條規定之課程綱要編輯教材。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前項教材由學校編輯者，應報請各該主管教育行政機關備查。</w:t>
      </w:r>
    </w:p>
    <w:p w:rsidR="008B4F69" w:rsidRPr="008B4F69" w:rsidRDefault="008B4F69" w:rsidP="008B4F69">
      <w:pPr>
        <w:widowControl/>
        <w:shd w:val="clear" w:color="auto" w:fill="E4F6F6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11 條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 w:hint="eastAsia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依本法第九條第三項至第六項規定組織之遴選委員會，應在校長第一任</w:t>
      </w:r>
      <w:proofErr w:type="gramStart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任</w:t>
      </w:r>
      <w:proofErr w:type="gramEnd"/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期屆滿一個月前，視其辦學績效、連任或轉任意願及其他實際情況，決定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其應否繼續</w:t>
      </w:r>
      <w:proofErr w:type="gramStart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遴</w:t>
      </w:r>
      <w:proofErr w:type="gramEnd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聘。現職校長依本法第九條之三規定評鑑績效優良者，得考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量優先予以</w:t>
      </w:r>
      <w:proofErr w:type="gramStart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遴</w:t>
      </w:r>
      <w:proofErr w:type="gramEnd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聘。</w:t>
      </w:r>
    </w:p>
    <w:p w:rsidR="008B4F69" w:rsidRPr="008B4F69" w:rsidRDefault="008B4F69" w:rsidP="008B4F69">
      <w:pPr>
        <w:widowControl/>
        <w:shd w:val="clear" w:color="auto" w:fill="E4F6F6"/>
        <w:rPr>
          <w:rFonts w:ascii="細明體" w:eastAsia="細明體" w:hAnsi="細明體" w:cs="新細明體"/>
          <w:b/>
          <w:color w:val="FF0000"/>
          <w:kern w:val="0"/>
          <w:sz w:val="27"/>
          <w:szCs w:val="27"/>
        </w:rPr>
      </w:pPr>
      <w:r w:rsidRPr="008B4F69">
        <w:rPr>
          <w:rFonts w:ascii="細明體" w:eastAsia="細明體" w:hAnsi="細明體" w:cs="新細明體" w:hint="eastAsia"/>
          <w:b/>
          <w:bCs/>
          <w:color w:val="FF0000"/>
          <w:kern w:val="0"/>
          <w:szCs w:val="24"/>
        </w:rPr>
        <w:t>第 12 條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 w:hint="eastAsia"/>
          <w:b/>
          <w:color w:val="FF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b/>
          <w:color w:val="FF0000"/>
          <w:kern w:val="0"/>
          <w:szCs w:val="24"/>
        </w:rPr>
        <w:t>本法第十條第一項所定校務重大事項，其內容如下：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b/>
          <w:color w:val="FF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b/>
          <w:color w:val="FF0000"/>
          <w:kern w:val="0"/>
          <w:szCs w:val="24"/>
        </w:rPr>
        <w:t>一、校務發展計畫。</w:t>
      </w:r>
      <w:bookmarkStart w:id="0" w:name="_GoBack"/>
      <w:bookmarkEnd w:id="0"/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b/>
          <w:color w:val="FF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b/>
          <w:color w:val="FF0000"/>
          <w:kern w:val="0"/>
          <w:szCs w:val="24"/>
        </w:rPr>
        <w:t>二、學校各種重要章則。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b/>
          <w:color w:val="FF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b/>
          <w:color w:val="FF0000"/>
          <w:kern w:val="0"/>
          <w:szCs w:val="24"/>
        </w:rPr>
        <w:t>三、依法令規定應經校務會議議決之事項。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b/>
          <w:color w:val="FF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b/>
          <w:color w:val="FF0000"/>
          <w:kern w:val="0"/>
          <w:szCs w:val="24"/>
        </w:rPr>
        <w:t>四、校長交議事項。</w:t>
      </w:r>
    </w:p>
    <w:p w:rsidR="008B4F69" w:rsidRPr="008B4F69" w:rsidRDefault="008B4F69" w:rsidP="008B4F69">
      <w:pPr>
        <w:widowControl/>
        <w:shd w:val="clear" w:color="auto" w:fill="E4F6F6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13 條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 w:hint="eastAsia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國民小學及國民中學之學生事務及輔導工作，應兼顧學生群性及個性之發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展，參酌學校及學生特性，並依相關法令之規定辦理。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校長及全體</w:t>
      </w:r>
      <w:proofErr w:type="gramStart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教師均負學生</w:t>
      </w:r>
      <w:proofErr w:type="gramEnd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之學生事務及其輔導責任。</w:t>
      </w:r>
    </w:p>
    <w:p w:rsidR="008B4F69" w:rsidRPr="008B4F69" w:rsidRDefault="008B4F69" w:rsidP="008B4F69">
      <w:pPr>
        <w:widowControl/>
        <w:shd w:val="clear" w:color="auto" w:fill="E4F6F6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14 條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 w:hint="eastAsia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國民小學及國民中學之行政組織，除依本法第十條、國民小學與國民中學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>班級編制及教職員員額編制準則及其他相關法令之規定外，得參照下列各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款辦理：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一、</w:t>
      </w:r>
      <w:proofErr w:type="gramStart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各處（</w:t>
      </w:r>
      <w:proofErr w:type="gramEnd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室）之下得設組。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二、</w:t>
      </w:r>
      <w:proofErr w:type="gramStart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每班置導師</w:t>
      </w:r>
      <w:proofErr w:type="gramEnd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一人。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三、成立課程發展委員會，下設各學習領域課程小組；其規模較小學校得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    合併設置跨領域課程小組。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四、實驗國民小學及實驗國民中學得視需要增設研究處，置主任一人，並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    得設組。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國民小學及國民中學</w:t>
      </w:r>
      <w:proofErr w:type="gramStart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各處、</w:t>
      </w:r>
      <w:proofErr w:type="gramEnd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室掌理事項，得參照下列各款辦理：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一、教務處：課程發展、課程編排、教學實施、學籍管理、成績評量、教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    學設備、資訊與網路設備、教具圖書資料供應、教學研究、教學評鑑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    ，並與輔導單位配合實施教育輔導等事項。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二、學生事務處：公民教育、道德教育、生活教育、體育衛生保健、學生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    團體活動及生活管理，並與輔導單位配合實施生活輔導等事項。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三、總務處：學校文書、事務、出納等事項。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四、輔導室（輔導教師）：學生資料蒐集與分析、學生智力、性向、人格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    等測驗之實施，學生興趣成就與志願之調查、輔導及諮商之進行，並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    辦理特殊教育及親職教育等事項。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五、人事單位：人事管理事項。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六、主計單位：歲計、會計及統計等事項。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設</w:t>
      </w:r>
      <w:proofErr w:type="gramStart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教導處者</w:t>
      </w:r>
      <w:proofErr w:type="gramEnd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，其掌理事項包括前項教務處及學生事務處業務。</w:t>
      </w:r>
    </w:p>
    <w:p w:rsidR="008B4F69" w:rsidRPr="008B4F69" w:rsidRDefault="008B4F69" w:rsidP="008B4F69">
      <w:pPr>
        <w:widowControl/>
        <w:shd w:val="clear" w:color="auto" w:fill="E4F6F6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15 條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 w:hint="eastAsia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國民小學及國民中學依本法第十五條規定協助辦理社會教育時，應依社會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教育法第九條規定辦理。</w:t>
      </w:r>
    </w:p>
    <w:p w:rsidR="008B4F69" w:rsidRPr="008B4F69" w:rsidRDefault="008B4F69" w:rsidP="008B4F69">
      <w:pPr>
        <w:widowControl/>
        <w:shd w:val="clear" w:color="auto" w:fill="E4F6F6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16 條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 w:hint="eastAsia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私立國民小學及私立國民</w:t>
      </w:r>
      <w:proofErr w:type="gramStart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中學經徵得</w:t>
      </w:r>
      <w:proofErr w:type="gramEnd"/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其董事會及主管教育行政機關同意，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得按公立國民小學及國民中學劃分學區之規定，分發學生入學，學生並免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納學費；其人事費及辦公費，由直轄市、縣 (市) 政府依規定標準編列預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算發給之，建築設備費，得視實際需要編列預算補助之。</w:t>
      </w:r>
    </w:p>
    <w:p w:rsidR="008B4F69" w:rsidRPr="008B4F69" w:rsidRDefault="008B4F69" w:rsidP="008B4F69">
      <w:pPr>
        <w:widowControl/>
        <w:shd w:val="clear" w:color="auto" w:fill="E4F6F6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17 條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 w:hint="eastAsia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私立國民小學及私立國民中學應依本法第八條規定之課程綱要，本國民教</w:t>
      </w:r>
    </w:p>
    <w:p w:rsidR="008B4F69" w:rsidRPr="008B4F69" w:rsidRDefault="008B4F69" w:rsidP="008B4F69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細明體" w:hint="eastAsia"/>
          <w:color w:val="000000"/>
          <w:kern w:val="0"/>
          <w:szCs w:val="24"/>
        </w:rPr>
        <w:t>育精神施教，並受主管教育行政機關視導監督。</w:t>
      </w:r>
    </w:p>
    <w:p w:rsidR="008B4F69" w:rsidRPr="008B4F69" w:rsidRDefault="008B4F69" w:rsidP="008B4F69">
      <w:pPr>
        <w:widowControl/>
        <w:shd w:val="clear" w:color="auto" w:fill="E4F6F6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8B4F69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18 條</w:t>
      </w:r>
      <w:r w:rsidRPr="008B4F69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本細則自發布日施行。</w:t>
      </w:r>
    </w:p>
    <w:p w:rsidR="00171D81" w:rsidRPr="008B4F69" w:rsidRDefault="00171D81"/>
    <w:sectPr w:rsidR="00171D81" w:rsidRPr="008B4F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384A"/>
    <w:multiLevelType w:val="multilevel"/>
    <w:tmpl w:val="7234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20EBD"/>
    <w:multiLevelType w:val="multilevel"/>
    <w:tmpl w:val="30C8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2E0A72"/>
    <w:multiLevelType w:val="multilevel"/>
    <w:tmpl w:val="E51C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DE"/>
    <w:rsid w:val="00171D81"/>
    <w:rsid w:val="008B4F69"/>
    <w:rsid w:val="00B5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F69"/>
    <w:rPr>
      <w:color w:val="0000FF"/>
      <w:u w:val="single"/>
    </w:rPr>
  </w:style>
  <w:style w:type="character" w:styleId="a4">
    <w:name w:val="Strong"/>
    <w:basedOn w:val="a0"/>
    <w:uiPriority w:val="22"/>
    <w:qFormat/>
    <w:rsid w:val="008B4F6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B4F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B4F69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F69"/>
    <w:rPr>
      <w:color w:val="0000FF"/>
      <w:u w:val="single"/>
    </w:rPr>
  </w:style>
  <w:style w:type="character" w:styleId="a4">
    <w:name w:val="Strong"/>
    <w:basedOn w:val="a0"/>
    <w:uiPriority w:val="22"/>
    <w:qFormat/>
    <w:rsid w:val="008B4F6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B4F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B4F69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893">
          <w:marLeft w:val="0"/>
          <w:marRight w:val="0"/>
          <w:marTop w:val="0"/>
          <w:marBottom w:val="300"/>
          <w:divBdr>
            <w:top w:val="single" w:sz="6" w:space="14" w:color="7ED2D5"/>
            <w:left w:val="single" w:sz="6" w:space="14" w:color="7ED2D5"/>
            <w:bottom w:val="single" w:sz="6" w:space="14" w:color="7ED2D5"/>
            <w:right w:val="single" w:sz="6" w:space="14" w:color="7ED2D5"/>
          </w:divBdr>
          <w:divsChild>
            <w:div w:id="1847985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Download.ashx?FileID=7715" TargetMode="External"/><Relationship Id="rId13" Type="http://schemas.openxmlformats.org/officeDocument/2006/relationships/hyperlink" Target="http://edu.law.moe.gov.tw/LawContentSource.aspx?id=FL0089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du.law.moe.gov.tw/Download.ashx?FileID=3934" TargetMode="External"/><Relationship Id="rId12" Type="http://schemas.openxmlformats.org/officeDocument/2006/relationships/hyperlink" Target="http://edu.law.moe.gov.tw/LawContentSearch.aspx?id=FL0089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du.law.moe.gov.tw/Download.ashx?FileID=3847" TargetMode="External"/><Relationship Id="rId11" Type="http://schemas.openxmlformats.org/officeDocument/2006/relationships/hyperlink" Target="http://edu.law.moe.gov.tw/LawContent.aspx?id=FL0089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du.law.moe.gov.tw/Download.ashx?FileID=1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law.moe.gov.tw/Download.ashx?FileID=20754" TargetMode="External"/><Relationship Id="rId14" Type="http://schemas.openxmlformats.org/officeDocument/2006/relationships/hyperlink" Target="http://edu.law.moe.gov.tw/LawContentHistory.aspx?id=FL00893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2019-06-23T05:13:00Z</dcterms:created>
  <dcterms:modified xsi:type="dcterms:W3CDTF">2019-06-23T05:13:00Z</dcterms:modified>
</cp:coreProperties>
</file>