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92" w:type="dxa"/>
        <w:tblCellMar>
          <w:left w:w="0" w:type="dxa"/>
          <w:right w:w="0" w:type="dxa"/>
        </w:tblCellMar>
        <w:tblLook w:val="04A0" w:firstRow="1" w:lastRow="0" w:firstColumn="1" w:lastColumn="0" w:noHBand="0" w:noVBand="1"/>
      </w:tblPr>
      <w:tblGrid>
        <w:gridCol w:w="2344"/>
        <w:gridCol w:w="14348"/>
      </w:tblGrid>
      <w:tr w:rsidR="00271393" w:rsidRPr="00271393" w:rsidTr="00271393">
        <w:tc>
          <w:tcPr>
            <w:tcW w:w="2328" w:type="dxa"/>
            <w:tcBorders>
              <w:top w:val="nil"/>
              <w:left w:val="nil"/>
              <w:bottom w:val="nil"/>
              <w:right w:val="nil"/>
            </w:tcBorders>
            <w:shd w:val="clear" w:color="auto" w:fill="auto"/>
            <w:noWrap/>
            <w:tcMar>
              <w:top w:w="72" w:type="dxa"/>
              <w:left w:w="0" w:type="dxa"/>
              <w:bottom w:w="72" w:type="dxa"/>
              <w:right w:w="0" w:type="dxa"/>
            </w:tcMar>
            <w:hideMark/>
          </w:tcPr>
          <w:p w:rsidR="00271393" w:rsidRPr="00271393" w:rsidRDefault="00271393" w:rsidP="00271393">
            <w:pPr>
              <w:widowControl/>
              <w:jc w:val="right"/>
              <w:rPr>
                <w:rFonts w:ascii="細明體" w:eastAsia="細明體" w:hAnsi="細明體" w:cs="新細明體"/>
                <w:b/>
                <w:bCs/>
                <w:kern w:val="0"/>
                <w:szCs w:val="24"/>
              </w:rPr>
            </w:pPr>
            <w:r w:rsidRPr="00271393">
              <w:rPr>
                <w:rFonts w:ascii="細明體" w:eastAsia="細明體" w:hAnsi="細明體" w:cs="新細明體" w:hint="eastAsia"/>
                <w:b/>
                <w:bCs/>
                <w:kern w:val="0"/>
                <w:szCs w:val="24"/>
              </w:rPr>
              <w:t>法規名稱：</w:t>
            </w:r>
          </w:p>
        </w:tc>
        <w:tc>
          <w:tcPr>
            <w:tcW w:w="0" w:type="auto"/>
            <w:tcBorders>
              <w:top w:val="nil"/>
              <w:left w:val="nil"/>
              <w:bottom w:val="nil"/>
              <w:right w:val="nil"/>
            </w:tcBorders>
            <w:shd w:val="clear" w:color="auto" w:fill="auto"/>
            <w:tcMar>
              <w:top w:w="72" w:type="dxa"/>
              <w:left w:w="0" w:type="dxa"/>
              <w:bottom w:w="72" w:type="dxa"/>
              <w:right w:w="0" w:type="dxa"/>
            </w:tcMar>
            <w:hideMark/>
          </w:tcPr>
          <w:p w:rsidR="00271393" w:rsidRPr="00271393" w:rsidRDefault="00271393" w:rsidP="00271393">
            <w:pPr>
              <w:widowControl/>
              <w:rPr>
                <w:rFonts w:ascii="細明體" w:eastAsia="細明體" w:hAnsi="細明體" w:cs="新細明體"/>
                <w:kern w:val="0"/>
                <w:szCs w:val="24"/>
              </w:rPr>
            </w:pPr>
            <w:hyperlink r:id="rId7" w:history="1">
              <w:r w:rsidRPr="00271393">
                <w:rPr>
                  <w:rFonts w:ascii="細明體" w:eastAsia="細明體" w:hAnsi="細明體" w:cs="新細明體" w:hint="eastAsia"/>
                  <w:color w:val="993399"/>
                  <w:kern w:val="0"/>
                  <w:szCs w:val="24"/>
                </w:rPr>
                <w:t>國民教育法</w:t>
              </w:r>
            </w:hyperlink>
            <w:r w:rsidRPr="00271393">
              <w:rPr>
                <w:rFonts w:ascii="細明體" w:eastAsia="細明體" w:hAnsi="細明體" w:cs="新細明體" w:hint="eastAsia"/>
                <w:kern w:val="0"/>
                <w:szCs w:val="24"/>
              </w:rPr>
              <w:t> </w:t>
            </w:r>
            <w:hyperlink r:id="rId8" w:history="1">
              <w:r w:rsidRPr="00271393">
                <w:rPr>
                  <w:rFonts w:ascii="微軟正黑體" w:eastAsia="微軟正黑體" w:hAnsi="微軟正黑體" w:cs="新細明體" w:hint="eastAsia"/>
                  <w:b/>
                  <w:bCs/>
                  <w:color w:val="FFFFFF"/>
                  <w:kern w:val="0"/>
                  <w:sz w:val="19"/>
                  <w:szCs w:val="19"/>
                </w:rPr>
                <w:t>英</w:t>
              </w:r>
            </w:hyperlink>
          </w:p>
        </w:tc>
      </w:tr>
      <w:tr w:rsidR="00271393" w:rsidRPr="00271393" w:rsidTr="00271393">
        <w:tc>
          <w:tcPr>
            <w:tcW w:w="2328" w:type="dxa"/>
            <w:tcBorders>
              <w:top w:val="nil"/>
              <w:left w:val="nil"/>
              <w:bottom w:val="nil"/>
              <w:right w:val="nil"/>
            </w:tcBorders>
            <w:shd w:val="clear" w:color="auto" w:fill="auto"/>
            <w:noWrap/>
            <w:tcMar>
              <w:top w:w="72" w:type="dxa"/>
              <w:left w:w="0" w:type="dxa"/>
              <w:bottom w:w="72" w:type="dxa"/>
              <w:right w:w="0" w:type="dxa"/>
            </w:tcMar>
            <w:hideMark/>
          </w:tcPr>
          <w:p w:rsidR="00271393" w:rsidRPr="00271393" w:rsidRDefault="00271393" w:rsidP="00271393">
            <w:pPr>
              <w:widowControl/>
              <w:jc w:val="right"/>
              <w:rPr>
                <w:rFonts w:ascii="細明體" w:eastAsia="細明體" w:hAnsi="細明體" w:cs="新細明體"/>
                <w:b/>
                <w:bCs/>
                <w:kern w:val="0"/>
                <w:szCs w:val="24"/>
              </w:rPr>
            </w:pPr>
            <w:r w:rsidRPr="00271393">
              <w:rPr>
                <w:rFonts w:ascii="細明體" w:eastAsia="細明體" w:hAnsi="細明體" w:cs="新細明體" w:hint="eastAsia"/>
                <w:b/>
                <w:bCs/>
                <w:kern w:val="0"/>
                <w:szCs w:val="24"/>
              </w:rPr>
              <w:t>修正日期：</w:t>
            </w:r>
          </w:p>
        </w:tc>
        <w:tc>
          <w:tcPr>
            <w:tcW w:w="0" w:type="auto"/>
            <w:tcBorders>
              <w:top w:val="nil"/>
              <w:left w:val="nil"/>
              <w:bottom w:val="nil"/>
              <w:right w:val="nil"/>
            </w:tcBorders>
            <w:shd w:val="clear" w:color="auto" w:fill="auto"/>
            <w:tcMar>
              <w:top w:w="72" w:type="dxa"/>
              <w:left w:w="0" w:type="dxa"/>
              <w:bottom w:w="72" w:type="dxa"/>
              <w:right w:w="0" w:type="dxa"/>
            </w:tcMar>
            <w:hideMark/>
          </w:tcPr>
          <w:p w:rsidR="00271393" w:rsidRPr="00271393" w:rsidRDefault="00271393" w:rsidP="00271393">
            <w:pPr>
              <w:widowControl/>
              <w:rPr>
                <w:rFonts w:ascii="細明體" w:eastAsia="細明體" w:hAnsi="細明體" w:cs="新細明體"/>
                <w:kern w:val="0"/>
                <w:szCs w:val="24"/>
              </w:rPr>
            </w:pPr>
            <w:r w:rsidRPr="00271393">
              <w:rPr>
                <w:rFonts w:ascii="細明體" w:eastAsia="細明體" w:hAnsi="細明體" w:cs="新細明體" w:hint="eastAsia"/>
                <w:kern w:val="0"/>
                <w:szCs w:val="24"/>
              </w:rPr>
              <w:t>民國 105 年 06 月 01 日</w:t>
            </w:r>
          </w:p>
        </w:tc>
      </w:tr>
      <w:tr w:rsidR="00271393" w:rsidRPr="00271393" w:rsidTr="00271393">
        <w:tc>
          <w:tcPr>
            <w:tcW w:w="2328" w:type="dxa"/>
            <w:tcBorders>
              <w:top w:val="nil"/>
              <w:left w:val="nil"/>
              <w:bottom w:val="nil"/>
              <w:right w:val="nil"/>
            </w:tcBorders>
            <w:shd w:val="clear" w:color="auto" w:fill="auto"/>
            <w:noWrap/>
            <w:tcMar>
              <w:top w:w="72" w:type="dxa"/>
              <w:left w:w="0" w:type="dxa"/>
              <w:bottom w:w="72" w:type="dxa"/>
              <w:right w:w="0" w:type="dxa"/>
            </w:tcMar>
            <w:hideMark/>
          </w:tcPr>
          <w:p w:rsidR="00271393" w:rsidRPr="00271393" w:rsidRDefault="00271393" w:rsidP="00271393">
            <w:pPr>
              <w:widowControl/>
              <w:jc w:val="right"/>
              <w:rPr>
                <w:rFonts w:ascii="細明體" w:eastAsia="細明體" w:hAnsi="細明體" w:cs="新細明體"/>
                <w:b/>
                <w:bCs/>
                <w:kern w:val="0"/>
                <w:szCs w:val="24"/>
              </w:rPr>
            </w:pPr>
            <w:r w:rsidRPr="00271393">
              <w:rPr>
                <w:rFonts w:ascii="細明體" w:eastAsia="細明體" w:hAnsi="細明體" w:cs="新細明體" w:hint="eastAsia"/>
                <w:b/>
                <w:bCs/>
                <w:kern w:val="0"/>
                <w:szCs w:val="24"/>
              </w:rPr>
              <w:t>法規類別：</w:t>
            </w:r>
          </w:p>
        </w:tc>
        <w:tc>
          <w:tcPr>
            <w:tcW w:w="0" w:type="auto"/>
            <w:tcBorders>
              <w:top w:val="nil"/>
              <w:left w:val="nil"/>
              <w:bottom w:val="nil"/>
              <w:right w:val="nil"/>
            </w:tcBorders>
            <w:shd w:val="clear" w:color="auto" w:fill="auto"/>
            <w:tcMar>
              <w:top w:w="72" w:type="dxa"/>
              <w:left w:w="0" w:type="dxa"/>
              <w:bottom w:w="72" w:type="dxa"/>
              <w:right w:w="0" w:type="dxa"/>
            </w:tcMar>
            <w:hideMark/>
          </w:tcPr>
          <w:p w:rsidR="00271393" w:rsidRPr="00271393" w:rsidRDefault="00271393" w:rsidP="00271393">
            <w:pPr>
              <w:widowControl/>
              <w:rPr>
                <w:rFonts w:ascii="細明體" w:eastAsia="細明體" w:hAnsi="細明體" w:cs="新細明體"/>
                <w:kern w:val="0"/>
                <w:szCs w:val="24"/>
              </w:rPr>
            </w:pPr>
            <w:r w:rsidRPr="00271393">
              <w:rPr>
                <w:rFonts w:ascii="細明體" w:eastAsia="細明體" w:hAnsi="細明體" w:cs="新細明體" w:hint="eastAsia"/>
                <w:kern w:val="0"/>
                <w:szCs w:val="24"/>
              </w:rPr>
              <w:t>行政 ＞ 教育部 ＞ 國民及學前教育目</w:t>
            </w:r>
          </w:p>
        </w:tc>
      </w:tr>
    </w:tbl>
    <w:p w:rsidR="00271393" w:rsidRPr="00271393" w:rsidRDefault="00271393" w:rsidP="00271393">
      <w:pPr>
        <w:widowControl/>
        <w:shd w:val="clear" w:color="auto" w:fill="F9FBFB"/>
        <w:spacing w:line="408" w:lineRule="atLeast"/>
        <w:jc w:val="right"/>
        <w:rPr>
          <w:rFonts w:ascii="細明體" w:eastAsia="細明體" w:hAnsi="細明體" w:cs="新細明體"/>
          <w:color w:val="000000"/>
          <w:kern w:val="0"/>
          <w:sz w:val="27"/>
          <w:szCs w:val="27"/>
        </w:rPr>
      </w:pPr>
      <w:r w:rsidRPr="00271393">
        <w:rPr>
          <w:rFonts w:ascii="細明體" w:eastAsia="細明體" w:hAnsi="細明體" w:cs="新細明體" w:hint="eastAsia"/>
          <w:color w:val="000000"/>
          <w:kern w:val="0"/>
          <w:sz w:val="27"/>
          <w:szCs w:val="27"/>
        </w:rPr>
        <w:t>第 10 條</w:t>
      </w:r>
    </w:p>
    <w:p w:rsidR="00271393" w:rsidRPr="00271393" w:rsidRDefault="00271393" w:rsidP="00271393">
      <w:pPr>
        <w:widowControl/>
        <w:shd w:val="clear" w:color="auto" w:fill="F9FBFB"/>
        <w:spacing w:line="432" w:lineRule="atLeast"/>
        <w:rPr>
          <w:rFonts w:ascii="細明體" w:eastAsia="細明體" w:hAnsi="細明體" w:cs="新細明體" w:hint="eastAsia"/>
          <w:color w:val="000000"/>
          <w:kern w:val="0"/>
          <w:sz w:val="27"/>
          <w:szCs w:val="27"/>
        </w:rPr>
      </w:pPr>
      <w:bookmarkStart w:id="0" w:name="_GoBack"/>
      <w:r w:rsidRPr="00271393">
        <w:rPr>
          <w:rFonts w:ascii="細明體" w:eastAsia="細明體" w:hAnsi="細明體" w:cs="新細明體" w:hint="eastAsia"/>
          <w:b/>
          <w:color w:val="FF0000"/>
          <w:kern w:val="0"/>
          <w:sz w:val="27"/>
          <w:szCs w:val="27"/>
        </w:rPr>
        <w:t>國民小學與國民中學設校務會議，議決校務重大事項，由校長召集主持。</w:t>
      </w:r>
      <w:r w:rsidRPr="00271393">
        <w:rPr>
          <w:rFonts w:ascii="細明體" w:eastAsia="細明體" w:hAnsi="細明體" w:cs="新細明體" w:hint="eastAsia"/>
          <w:b/>
          <w:color w:val="FF0000"/>
          <w:kern w:val="0"/>
          <w:sz w:val="27"/>
          <w:szCs w:val="27"/>
        </w:rPr>
        <w:br/>
        <w:t>校務會議以校長、全體專任教師或教師代表、家長會代表、職工代表組成</w:t>
      </w:r>
      <w:r w:rsidRPr="00271393">
        <w:rPr>
          <w:rFonts w:ascii="細明體" w:eastAsia="細明體" w:hAnsi="細明體" w:cs="新細明體" w:hint="eastAsia"/>
          <w:b/>
          <w:color w:val="FF0000"/>
          <w:kern w:val="0"/>
          <w:sz w:val="27"/>
          <w:szCs w:val="27"/>
        </w:rPr>
        <w:br/>
        <w:t>之。其成員比例由設立學校之各級主管教育行政機關定之。</w:t>
      </w:r>
      <w:r w:rsidRPr="00271393">
        <w:rPr>
          <w:rFonts w:ascii="細明體" w:eastAsia="細明體" w:hAnsi="細明體" w:cs="新細明體" w:hint="eastAsia"/>
          <w:b/>
          <w:color w:val="FF0000"/>
          <w:kern w:val="0"/>
          <w:sz w:val="27"/>
          <w:szCs w:val="27"/>
        </w:rPr>
        <w:br/>
      </w:r>
      <w:bookmarkEnd w:id="0"/>
      <w:r w:rsidRPr="00271393">
        <w:rPr>
          <w:rFonts w:ascii="細明體" w:eastAsia="細明體" w:hAnsi="細明體" w:cs="新細明體" w:hint="eastAsia"/>
          <w:color w:val="000000"/>
          <w:kern w:val="0"/>
          <w:sz w:val="27"/>
          <w:szCs w:val="27"/>
        </w:rPr>
        <w:t>國民小學及國民中學，視規模大小，酌設教務處、學生事務處、總務處或</w:t>
      </w:r>
      <w:r w:rsidRPr="00271393">
        <w:rPr>
          <w:rFonts w:ascii="細明體" w:eastAsia="細明體" w:hAnsi="細明體" w:cs="新細明體" w:hint="eastAsia"/>
          <w:color w:val="000000"/>
          <w:kern w:val="0"/>
          <w:sz w:val="27"/>
          <w:szCs w:val="27"/>
        </w:rPr>
        <w:br/>
        <w:t>教導處、總務處，各置主任一人及職員若干人。主任由校長就專任教師中</w:t>
      </w:r>
      <w:r w:rsidRPr="00271393">
        <w:rPr>
          <w:rFonts w:ascii="細明體" w:eastAsia="細明體" w:hAnsi="細明體" w:cs="新細明體" w:hint="eastAsia"/>
          <w:color w:val="000000"/>
          <w:kern w:val="0"/>
          <w:sz w:val="27"/>
          <w:szCs w:val="27"/>
        </w:rPr>
        <w:br/>
        <w:t>聘兼之，職員由校長</w:t>
      </w:r>
      <w:proofErr w:type="gramStart"/>
      <w:r w:rsidRPr="00271393">
        <w:rPr>
          <w:rFonts w:ascii="細明體" w:eastAsia="細明體" w:hAnsi="細明體" w:cs="新細明體" w:hint="eastAsia"/>
          <w:color w:val="000000"/>
          <w:kern w:val="0"/>
          <w:sz w:val="27"/>
          <w:szCs w:val="27"/>
        </w:rPr>
        <w:t>遴</w:t>
      </w:r>
      <w:proofErr w:type="gramEnd"/>
      <w:r w:rsidRPr="00271393">
        <w:rPr>
          <w:rFonts w:ascii="細明體" w:eastAsia="細明體" w:hAnsi="細明體" w:cs="新細明體" w:hint="eastAsia"/>
          <w:color w:val="000000"/>
          <w:kern w:val="0"/>
          <w:sz w:val="27"/>
          <w:szCs w:val="27"/>
        </w:rPr>
        <w:t>用，</w:t>
      </w:r>
      <w:proofErr w:type="gramStart"/>
      <w:r w:rsidRPr="00271393">
        <w:rPr>
          <w:rFonts w:ascii="細明體" w:eastAsia="細明體" w:hAnsi="細明體" w:cs="新細明體" w:hint="eastAsia"/>
          <w:color w:val="000000"/>
          <w:kern w:val="0"/>
          <w:sz w:val="27"/>
          <w:szCs w:val="27"/>
        </w:rPr>
        <w:t>均應報</w:t>
      </w:r>
      <w:proofErr w:type="gramEnd"/>
      <w:r w:rsidRPr="00271393">
        <w:rPr>
          <w:rFonts w:ascii="細明體" w:eastAsia="細明體" w:hAnsi="細明體" w:cs="新細明體" w:hint="eastAsia"/>
          <w:color w:val="000000"/>
          <w:kern w:val="0"/>
          <w:sz w:val="27"/>
          <w:szCs w:val="27"/>
        </w:rPr>
        <w:t>直轄市或縣（市）主管教育行政機關核</w:t>
      </w:r>
      <w:r w:rsidRPr="00271393">
        <w:rPr>
          <w:rFonts w:ascii="細明體" w:eastAsia="細明體" w:hAnsi="細明體" w:cs="新細明體" w:hint="eastAsia"/>
          <w:color w:val="000000"/>
          <w:kern w:val="0"/>
          <w:sz w:val="27"/>
          <w:szCs w:val="27"/>
        </w:rPr>
        <w:br/>
        <w:t>備。</w:t>
      </w:r>
      <w:r w:rsidRPr="00271393">
        <w:rPr>
          <w:rFonts w:ascii="細明體" w:eastAsia="細明體" w:hAnsi="細明體" w:cs="新細明體" w:hint="eastAsia"/>
          <w:color w:val="000000"/>
          <w:kern w:val="0"/>
          <w:sz w:val="27"/>
          <w:szCs w:val="27"/>
        </w:rPr>
        <w:br/>
        <w:t>國民小學及國民中學應設輔導室或輔導教師。輔導室置主任一人及輔導教</w:t>
      </w:r>
      <w:r w:rsidRPr="00271393">
        <w:rPr>
          <w:rFonts w:ascii="細明體" w:eastAsia="細明體" w:hAnsi="細明體" w:cs="新細明體" w:hint="eastAsia"/>
          <w:color w:val="000000"/>
          <w:kern w:val="0"/>
          <w:sz w:val="27"/>
          <w:szCs w:val="27"/>
        </w:rPr>
        <w:br/>
        <w:t>師若干人，由校長遴選具有教育熱忱與專業知能教師任之。輔導</w:t>
      </w:r>
      <w:proofErr w:type="gramStart"/>
      <w:r w:rsidRPr="00271393">
        <w:rPr>
          <w:rFonts w:ascii="細明體" w:eastAsia="細明體" w:hAnsi="細明體" w:cs="新細明體" w:hint="eastAsia"/>
          <w:color w:val="000000"/>
          <w:kern w:val="0"/>
          <w:sz w:val="27"/>
          <w:szCs w:val="27"/>
        </w:rPr>
        <w:t>主任及輔</w:t>
      </w:r>
      <w:proofErr w:type="gramEnd"/>
      <w:r w:rsidRPr="00271393">
        <w:rPr>
          <w:rFonts w:ascii="細明體" w:eastAsia="細明體" w:hAnsi="細明體" w:cs="新細明體" w:hint="eastAsia"/>
          <w:color w:val="000000"/>
          <w:kern w:val="0"/>
          <w:sz w:val="27"/>
          <w:szCs w:val="27"/>
        </w:rPr>
        <w:br/>
        <w:t>導教師以專任為原則。</w:t>
      </w:r>
      <w:r w:rsidRPr="00271393">
        <w:rPr>
          <w:rFonts w:ascii="細明體" w:eastAsia="細明體" w:hAnsi="細明體" w:cs="新細明體" w:hint="eastAsia"/>
          <w:color w:val="000000"/>
          <w:kern w:val="0"/>
          <w:sz w:val="27"/>
          <w:szCs w:val="27"/>
        </w:rPr>
        <w:br/>
        <w:t>前項專任輔導教師員額編制如下：</w:t>
      </w:r>
      <w:r w:rsidRPr="00271393">
        <w:rPr>
          <w:rFonts w:ascii="細明體" w:eastAsia="細明體" w:hAnsi="細明體" w:cs="新細明體" w:hint="eastAsia"/>
          <w:color w:val="000000"/>
          <w:kern w:val="0"/>
          <w:sz w:val="27"/>
          <w:szCs w:val="27"/>
        </w:rPr>
        <w:br/>
        <w:t>一、國民小學二十四班以上者，置一人。</w:t>
      </w:r>
      <w:r w:rsidRPr="00271393">
        <w:rPr>
          <w:rFonts w:ascii="細明體" w:eastAsia="細明體" w:hAnsi="細明體" w:cs="新細明體" w:hint="eastAsia"/>
          <w:color w:val="000000"/>
          <w:kern w:val="0"/>
          <w:sz w:val="27"/>
          <w:szCs w:val="27"/>
        </w:rPr>
        <w:br/>
        <w:t>二、國民中學</w:t>
      </w:r>
      <w:proofErr w:type="gramStart"/>
      <w:r w:rsidRPr="00271393">
        <w:rPr>
          <w:rFonts w:ascii="細明體" w:eastAsia="細明體" w:hAnsi="細明體" w:cs="新細明體" w:hint="eastAsia"/>
          <w:color w:val="000000"/>
          <w:kern w:val="0"/>
          <w:sz w:val="27"/>
          <w:szCs w:val="27"/>
        </w:rPr>
        <w:t>每校置</w:t>
      </w:r>
      <w:proofErr w:type="gramEnd"/>
      <w:r w:rsidRPr="00271393">
        <w:rPr>
          <w:rFonts w:ascii="細明體" w:eastAsia="細明體" w:hAnsi="細明體" w:cs="新細明體" w:hint="eastAsia"/>
          <w:color w:val="000000"/>
          <w:kern w:val="0"/>
          <w:sz w:val="27"/>
          <w:szCs w:val="27"/>
        </w:rPr>
        <w:t>一人，二十一班以上者，增置一人。</w:t>
      </w:r>
      <w:r w:rsidRPr="00271393">
        <w:rPr>
          <w:rFonts w:ascii="細明體" w:eastAsia="細明體" w:hAnsi="細明體" w:cs="新細明體" w:hint="eastAsia"/>
          <w:color w:val="000000"/>
          <w:kern w:val="0"/>
          <w:sz w:val="27"/>
          <w:szCs w:val="27"/>
        </w:rPr>
        <w:br/>
        <w:t>前項規定自中華民國一百零一年八月一日施行，於五年內逐年完成設置。</w:t>
      </w:r>
      <w:r w:rsidRPr="00271393">
        <w:rPr>
          <w:rFonts w:ascii="細明體" w:eastAsia="細明體" w:hAnsi="細明體" w:cs="新細明體" w:hint="eastAsia"/>
          <w:color w:val="000000"/>
          <w:kern w:val="0"/>
          <w:sz w:val="27"/>
          <w:szCs w:val="27"/>
        </w:rPr>
        <w:br/>
        <w:t>國民小學及國民中學得視實際需要另置專任專業輔導人員及義務輔導人員</w:t>
      </w:r>
      <w:r w:rsidRPr="00271393">
        <w:rPr>
          <w:rFonts w:ascii="細明體" w:eastAsia="細明體" w:hAnsi="細明體" w:cs="新細明體" w:hint="eastAsia"/>
          <w:color w:val="000000"/>
          <w:kern w:val="0"/>
          <w:sz w:val="27"/>
          <w:szCs w:val="27"/>
        </w:rPr>
        <w:br/>
        <w:t>若干人，其班級數達五十五班以上者，應至少置專任專業輔導人員一人。</w:t>
      </w:r>
      <w:r w:rsidRPr="00271393">
        <w:rPr>
          <w:rFonts w:ascii="細明體" w:eastAsia="細明體" w:hAnsi="細明體" w:cs="新細明體" w:hint="eastAsia"/>
          <w:color w:val="000000"/>
          <w:kern w:val="0"/>
          <w:sz w:val="27"/>
          <w:szCs w:val="27"/>
        </w:rPr>
        <w:br/>
        <w:t>直轄市、縣（市）政府應置專任專業輔導人員，視實際需要統籌調派之；</w:t>
      </w:r>
      <w:r w:rsidRPr="00271393">
        <w:rPr>
          <w:rFonts w:ascii="細明體" w:eastAsia="細明體" w:hAnsi="細明體" w:cs="新細明體" w:hint="eastAsia"/>
          <w:color w:val="000000"/>
          <w:kern w:val="0"/>
          <w:sz w:val="27"/>
          <w:szCs w:val="27"/>
        </w:rPr>
        <w:br/>
        <w:t>其所屬國民小學及國民中學校數合計二十校以下者，置一人，</w:t>
      </w:r>
      <w:proofErr w:type="gramStart"/>
      <w:r w:rsidRPr="00271393">
        <w:rPr>
          <w:rFonts w:ascii="細明體" w:eastAsia="細明體" w:hAnsi="細明體" w:cs="新細明體" w:hint="eastAsia"/>
          <w:color w:val="000000"/>
          <w:kern w:val="0"/>
          <w:sz w:val="27"/>
          <w:szCs w:val="27"/>
        </w:rPr>
        <w:t>二十一校至</w:t>
      </w:r>
      <w:proofErr w:type="gramEnd"/>
      <w:r w:rsidRPr="00271393">
        <w:rPr>
          <w:rFonts w:ascii="細明體" w:eastAsia="細明體" w:hAnsi="細明體" w:cs="新細明體" w:hint="eastAsia"/>
          <w:color w:val="000000"/>
          <w:kern w:val="0"/>
          <w:sz w:val="27"/>
          <w:szCs w:val="27"/>
        </w:rPr>
        <w:br/>
      </w:r>
      <w:proofErr w:type="gramStart"/>
      <w:r w:rsidRPr="00271393">
        <w:rPr>
          <w:rFonts w:ascii="細明體" w:eastAsia="細明體" w:hAnsi="細明體" w:cs="新細明體" w:hint="eastAsia"/>
          <w:color w:val="000000"/>
          <w:kern w:val="0"/>
          <w:sz w:val="27"/>
          <w:szCs w:val="27"/>
        </w:rPr>
        <w:t>四十校者</w:t>
      </w:r>
      <w:proofErr w:type="gramEnd"/>
      <w:r w:rsidRPr="00271393">
        <w:rPr>
          <w:rFonts w:ascii="細明體" w:eastAsia="細明體" w:hAnsi="細明體" w:cs="新細明體" w:hint="eastAsia"/>
          <w:color w:val="000000"/>
          <w:kern w:val="0"/>
          <w:sz w:val="27"/>
          <w:szCs w:val="27"/>
        </w:rPr>
        <w:t>，置二人，四十一校以上者以此類推。</w:t>
      </w:r>
      <w:r w:rsidRPr="00271393">
        <w:rPr>
          <w:rFonts w:ascii="細明體" w:eastAsia="細明體" w:hAnsi="細明體" w:cs="新細明體" w:hint="eastAsia"/>
          <w:color w:val="000000"/>
          <w:kern w:val="0"/>
          <w:sz w:val="27"/>
          <w:szCs w:val="27"/>
        </w:rPr>
        <w:br/>
      </w:r>
      <w:r w:rsidRPr="00271393">
        <w:rPr>
          <w:rFonts w:ascii="細明體" w:eastAsia="細明體" w:hAnsi="細明體" w:cs="新細明體" w:hint="eastAsia"/>
          <w:color w:val="000000"/>
          <w:kern w:val="0"/>
          <w:sz w:val="27"/>
          <w:szCs w:val="27"/>
        </w:rPr>
        <w:lastRenderedPageBreak/>
        <w:t>前二項專任專業輔導人員設置所需經費，由教育部視實際需要補助之；其</w:t>
      </w:r>
      <w:r w:rsidRPr="00271393">
        <w:rPr>
          <w:rFonts w:ascii="細明體" w:eastAsia="細明體" w:hAnsi="細明體" w:cs="新細明體" w:hint="eastAsia"/>
          <w:color w:val="000000"/>
          <w:kern w:val="0"/>
          <w:sz w:val="27"/>
          <w:szCs w:val="27"/>
        </w:rPr>
        <w:br/>
        <w:t>人員之資格、設置、實施方式、期程及其他相關事項之辦法，由教育部會</w:t>
      </w:r>
      <w:r w:rsidRPr="00271393">
        <w:rPr>
          <w:rFonts w:ascii="細明體" w:eastAsia="細明體" w:hAnsi="細明體" w:cs="新細明體" w:hint="eastAsia"/>
          <w:color w:val="000000"/>
          <w:kern w:val="0"/>
          <w:sz w:val="27"/>
          <w:szCs w:val="27"/>
        </w:rPr>
        <w:br/>
        <w:t>商直轄市、縣（市）政府後定之。</w:t>
      </w:r>
      <w:r w:rsidRPr="00271393">
        <w:rPr>
          <w:rFonts w:ascii="細明體" w:eastAsia="細明體" w:hAnsi="細明體" w:cs="新細明體" w:hint="eastAsia"/>
          <w:color w:val="000000"/>
          <w:kern w:val="0"/>
          <w:sz w:val="27"/>
          <w:szCs w:val="27"/>
        </w:rPr>
        <w:br/>
        <w:t>國民小學及國民中學應設人事及主計單位。規模</w:t>
      </w:r>
      <w:proofErr w:type="gramStart"/>
      <w:r w:rsidRPr="00271393">
        <w:rPr>
          <w:rFonts w:ascii="細明體" w:eastAsia="細明體" w:hAnsi="細明體" w:cs="新細明體" w:hint="eastAsia"/>
          <w:color w:val="000000"/>
          <w:kern w:val="0"/>
          <w:sz w:val="27"/>
          <w:szCs w:val="27"/>
        </w:rPr>
        <w:t>較小未設</w:t>
      </w:r>
      <w:proofErr w:type="gramEnd"/>
      <w:r w:rsidRPr="00271393">
        <w:rPr>
          <w:rFonts w:ascii="細明體" w:eastAsia="細明體" w:hAnsi="細明體" w:cs="新細明體" w:hint="eastAsia"/>
          <w:color w:val="000000"/>
          <w:kern w:val="0"/>
          <w:sz w:val="27"/>
          <w:szCs w:val="27"/>
        </w:rPr>
        <w:t>專責單位之公立</w:t>
      </w:r>
      <w:r w:rsidRPr="00271393">
        <w:rPr>
          <w:rFonts w:ascii="細明體" w:eastAsia="細明體" w:hAnsi="細明體" w:cs="新細明體" w:hint="eastAsia"/>
          <w:color w:val="000000"/>
          <w:kern w:val="0"/>
          <w:sz w:val="27"/>
          <w:szCs w:val="27"/>
        </w:rPr>
        <w:br/>
        <w:t>學校，得由直轄市、縣（市）人事及主計主管機關（構）指派所屬機關（</w:t>
      </w:r>
      <w:r w:rsidRPr="00271393">
        <w:rPr>
          <w:rFonts w:ascii="細明體" w:eastAsia="細明體" w:hAnsi="細明體" w:cs="新細明體" w:hint="eastAsia"/>
          <w:color w:val="000000"/>
          <w:kern w:val="0"/>
          <w:sz w:val="27"/>
          <w:szCs w:val="27"/>
        </w:rPr>
        <w:br/>
        <w:t>構）、學校之專任人事、主計人員或經有關機關辦理相關訓練合格之職員</w:t>
      </w:r>
      <w:r w:rsidRPr="00271393">
        <w:rPr>
          <w:rFonts w:ascii="細明體" w:eastAsia="細明體" w:hAnsi="細明體" w:cs="新細明體" w:hint="eastAsia"/>
          <w:color w:val="000000"/>
          <w:kern w:val="0"/>
          <w:sz w:val="27"/>
          <w:szCs w:val="27"/>
        </w:rPr>
        <w:br/>
        <w:t>兼任之；其員額編制標準，依有關法令之規定。</w:t>
      </w:r>
      <w:r w:rsidRPr="00271393">
        <w:rPr>
          <w:rFonts w:ascii="細明體" w:eastAsia="細明體" w:hAnsi="細明體" w:cs="新細明體" w:hint="eastAsia"/>
          <w:color w:val="000000"/>
          <w:kern w:val="0"/>
          <w:sz w:val="27"/>
          <w:szCs w:val="27"/>
        </w:rPr>
        <w:br/>
        <w:t>前項職員不包括護理人員。</w:t>
      </w:r>
    </w:p>
    <w:p w:rsidR="005611FA" w:rsidRDefault="005611FA"/>
    <w:sectPr w:rsidR="005611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DA" w:rsidRDefault="00A936DA" w:rsidP="00271393">
      <w:r>
        <w:separator/>
      </w:r>
    </w:p>
  </w:endnote>
  <w:endnote w:type="continuationSeparator" w:id="0">
    <w:p w:rsidR="00A936DA" w:rsidRDefault="00A936DA" w:rsidP="0027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DA" w:rsidRDefault="00A936DA" w:rsidP="00271393">
      <w:r>
        <w:separator/>
      </w:r>
    </w:p>
  </w:footnote>
  <w:footnote w:type="continuationSeparator" w:id="0">
    <w:p w:rsidR="00A936DA" w:rsidRDefault="00A936DA" w:rsidP="0027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0B"/>
    <w:rsid w:val="00271393"/>
    <w:rsid w:val="005611FA"/>
    <w:rsid w:val="00A936DA"/>
    <w:rsid w:val="00C35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93"/>
    <w:pPr>
      <w:tabs>
        <w:tab w:val="center" w:pos="4153"/>
        <w:tab w:val="right" w:pos="8306"/>
      </w:tabs>
      <w:snapToGrid w:val="0"/>
    </w:pPr>
    <w:rPr>
      <w:sz w:val="20"/>
      <w:szCs w:val="20"/>
    </w:rPr>
  </w:style>
  <w:style w:type="character" w:customStyle="1" w:styleId="a4">
    <w:name w:val="頁首 字元"/>
    <w:basedOn w:val="a0"/>
    <w:link w:val="a3"/>
    <w:uiPriority w:val="99"/>
    <w:rsid w:val="00271393"/>
    <w:rPr>
      <w:sz w:val="20"/>
      <w:szCs w:val="20"/>
    </w:rPr>
  </w:style>
  <w:style w:type="paragraph" w:styleId="a5">
    <w:name w:val="footer"/>
    <w:basedOn w:val="a"/>
    <w:link w:val="a6"/>
    <w:uiPriority w:val="99"/>
    <w:unhideWhenUsed/>
    <w:rsid w:val="00271393"/>
    <w:pPr>
      <w:tabs>
        <w:tab w:val="center" w:pos="4153"/>
        <w:tab w:val="right" w:pos="8306"/>
      </w:tabs>
      <w:snapToGrid w:val="0"/>
    </w:pPr>
    <w:rPr>
      <w:sz w:val="20"/>
      <w:szCs w:val="20"/>
    </w:rPr>
  </w:style>
  <w:style w:type="character" w:customStyle="1" w:styleId="a6">
    <w:name w:val="頁尾 字元"/>
    <w:basedOn w:val="a0"/>
    <w:link w:val="a5"/>
    <w:uiPriority w:val="99"/>
    <w:rsid w:val="00271393"/>
    <w:rPr>
      <w:sz w:val="20"/>
      <w:szCs w:val="20"/>
    </w:rPr>
  </w:style>
  <w:style w:type="character" w:styleId="a7">
    <w:name w:val="Hyperlink"/>
    <w:basedOn w:val="a0"/>
    <w:uiPriority w:val="99"/>
    <w:semiHidden/>
    <w:unhideWhenUsed/>
    <w:rsid w:val="00271393"/>
    <w:rPr>
      <w:color w:val="0000FF"/>
      <w:u w:val="single"/>
    </w:rPr>
  </w:style>
  <w:style w:type="character" w:customStyle="1" w:styleId="label-eng">
    <w:name w:val="label-eng"/>
    <w:basedOn w:val="a0"/>
    <w:rsid w:val="00271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93"/>
    <w:pPr>
      <w:tabs>
        <w:tab w:val="center" w:pos="4153"/>
        <w:tab w:val="right" w:pos="8306"/>
      </w:tabs>
      <w:snapToGrid w:val="0"/>
    </w:pPr>
    <w:rPr>
      <w:sz w:val="20"/>
      <w:szCs w:val="20"/>
    </w:rPr>
  </w:style>
  <w:style w:type="character" w:customStyle="1" w:styleId="a4">
    <w:name w:val="頁首 字元"/>
    <w:basedOn w:val="a0"/>
    <w:link w:val="a3"/>
    <w:uiPriority w:val="99"/>
    <w:rsid w:val="00271393"/>
    <w:rPr>
      <w:sz w:val="20"/>
      <w:szCs w:val="20"/>
    </w:rPr>
  </w:style>
  <w:style w:type="paragraph" w:styleId="a5">
    <w:name w:val="footer"/>
    <w:basedOn w:val="a"/>
    <w:link w:val="a6"/>
    <w:uiPriority w:val="99"/>
    <w:unhideWhenUsed/>
    <w:rsid w:val="00271393"/>
    <w:pPr>
      <w:tabs>
        <w:tab w:val="center" w:pos="4153"/>
        <w:tab w:val="right" w:pos="8306"/>
      </w:tabs>
      <w:snapToGrid w:val="0"/>
    </w:pPr>
    <w:rPr>
      <w:sz w:val="20"/>
      <w:szCs w:val="20"/>
    </w:rPr>
  </w:style>
  <w:style w:type="character" w:customStyle="1" w:styleId="a6">
    <w:name w:val="頁尾 字元"/>
    <w:basedOn w:val="a0"/>
    <w:link w:val="a5"/>
    <w:uiPriority w:val="99"/>
    <w:rsid w:val="00271393"/>
    <w:rPr>
      <w:sz w:val="20"/>
      <w:szCs w:val="20"/>
    </w:rPr>
  </w:style>
  <w:style w:type="character" w:styleId="a7">
    <w:name w:val="Hyperlink"/>
    <w:basedOn w:val="a0"/>
    <w:uiPriority w:val="99"/>
    <w:semiHidden/>
    <w:unhideWhenUsed/>
    <w:rsid w:val="00271393"/>
    <w:rPr>
      <w:color w:val="0000FF"/>
      <w:u w:val="single"/>
    </w:rPr>
  </w:style>
  <w:style w:type="character" w:customStyle="1" w:styleId="label-eng">
    <w:name w:val="label-eng"/>
    <w:basedOn w:val="a0"/>
    <w:rsid w:val="0027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5784">
      <w:bodyDiv w:val="1"/>
      <w:marLeft w:val="0"/>
      <w:marRight w:val="0"/>
      <w:marTop w:val="0"/>
      <w:marBottom w:val="0"/>
      <w:divBdr>
        <w:top w:val="none" w:sz="0" w:space="0" w:color="auto"/>
        <w:left w:val="none" w:sz="0" w:space="0" w:color="auto"/>
        <w:bottom w:val="none" w:sz="0" w:space="0" w:color="auto"/>
        <w:right w:val="none" w:sz="0" w:space="0" w:color="auto"/>
      </w:divBdr>
      <w:divsChild>
        <w:div w:id="7486722">
          <w:marLeft w:val="0"/>
          <w:marRight w:val="0"/>
          <w:marTop w:val="0"/>
          <w:marBottom w:val="450"/>
          <w:divBdr>
            <w:top w:val="single" w:sz="6" w:space="8" w:color="148383"/>
            <w:left w:val="single" w:sz="36" w:space="8" w:color="148383"/>
            <w:bottom w:val="single" w:sz="6" w:space="8" w:color="148383"/>
            <w:right w:val="single" w:sz="6" w:space="8" w:color="148383"/>
          </w:divBdr>
        </w:div>
        <w:div w:id="1096512879">
          <w:marLeft w:val="0"/>
          <w:marRight w:val="0"/>
          <w:marTop w:val="0"/>
          <w:marBottom w:val="300"/>
          <w:divBdr>
            <w:top w:val="single" w:sz="6" w:space="14" w:color="BAD5D5"/>
            <w:left w:val="single" w:sz="6" w:space="14" w:color="BAD5D5"/>
            <w:bottom w:val="single" w:sz="6" w:space="14" w:color="BAD5D5"/>
            <w:right w:val="single" w:sz="6" w:space="14" w:color="BAD5D5"/>
          </w:divBdr>
          <w:divsChild>
            <w:div w:id="119079077">
              <w:marLeft w:val="0"/>
              <w:marRight w:val="0"/>
              <w:marTop w:val="100"/>
              <w:marBottom w:val="100"/>
              <w:divBdr>
                <w:top w:val="none" w:sz="0" w:space="0" w:color="auto"/>
                <w:left w:val="none" w:sz="0" w:space="0" w:color="auto"/>
                <w:bottom w:val="none" w:sz="0" w:space="0" w:color="auto"/>
                <w:right w:val="none" w:sz="0" w:space="0" w:color="auto"/>
              </w:divBdr>
              <w:divsChild>
                <w:div w:id="1852987755">
                  <w:marLeft w:val="-225"/>
                  <w:marRight w:val="-225"/>
                  <w:marTop w:val="0"/>
                  <w:marBottom w:val="0"/>
                  <w:divBdr>
                    <w:top w:val="none" w:sz="0" w:space="0" w:color="auto"/>
                    <w:left w:val="none" w:sz="0" w:space="0" w:color="auto"/>
                    <w:bottom w:val="none" w:sz="0" w:space="0" w:color="auto"/>
                    <w:right w:val="none" w:sz="0" w:space="0" w:color="auto"/>
                  </w:divBdr>
                  <w:divsChild>
                    <w:div w:id="2106343278">
                      <w:marLeft w:val="0"/>
                      <w:marRight w:val="240"/>
                      <w:marTop w:val="0"/>
                      <w:marBottom w:val="0"/>
                      <w:divBdr>
                        <w:top w:val="none" w:sz="0" w:space="0" w:color="auto"/>
                        <w:left w:val="none" w:sz="0" w:space="0" w:color="auto"/>
                        <w:bottom w:val="none" w:sz="0" w:space="0" w:color="auto"/>
                        <w:right w:val="none" w:sz="0" w:space="0" w:color="auto"/>
                      </w:divBdr>
                    </w:div>
                    <w:div w:id="1557275873">
                      <w:marLeft w:val="0"/>
                      <w:marRight w:val="0"/>
                      <w:marTop w:val="0"/>
                      <w:marBottom w:val="0"/>
                      <w:divBdr>
                        <w:top w:val="none" w:sz="0" w:space="0" w:color="auto"/>
                        <w:left w:val="none" w:sz="0" w:space="0" w:color="auto"/>
                        <w:bottom w:val="none" w:sz="0" w:space="0" w:color="auto"/>
                        <w:right w:val="none" w:sz="0" w:space="0" w:color="auto"/>
                      </w:divBdr>
                      <w:divsChild>
                        <w:div w:id="1117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ENG/LawClass/LawAll.aspx?pcode=H0070001" TargetMode="External"/><Relationship Id="rId3" Type="http://schemas.openxmlformats.org/officeDocument/2006/relationships/settings" Target="settings.xml"/><Relationship Id="rId7" Type="http://schemas.openxmlformats.org/officeDocument/2006/relationships/hyperlink" Target="https://law.moj.gov.tw/LawClass/LawAll.aspx?pcode=H0070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2019-06-23T04:38:00Z</dcterms:created>
  <dcterms:modified xsi:type="dcterms:W3CDTF">2019-06-23T04:39:00Z</dcterms:modified>
</cp:coreProperties>
</file>